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CCD79" w14:textId="63B15699" w:rsidR="007D4607" w:rsidRPr="00691358" w:rsidRDefault="00FC1773" w:rsidP="007D4607">
      <w:pPr>
        <w:jc w:val="center"/>
        <w:rPr>
          <w:b/>
          <w:bCs/>
          <w:i/>
          <w:iCs/>
          <w:lang w:val="ro-RO"/>
        </w:rPr>
      </w:pPr>
      <w:r w:rsidRPr="00691358">
        <w:rPr>
          <w:b/>
          <w:i/>
          <w:lang w:val="ro-MD"/>
        </w:rPr>
        <w:t>S</w:t>
      </w:r>
      <w:r w:rsidR="00D4475F" w:rsidRPr="00691358">
        <w:rPr>
          <w:b/>
          <w:i/>
          <w:lang w:val="ro-MD"/>
        </w:rPr>
        <w:t xml:space="preserve">inteza </w:t>
      </w:r>
      <w:r w:rsidR="00D4475F" w:rsidRPr="00691358">
        <w:rPr>
          <w:b/>
          <w:i/>
          <w:lang w:val="ro-RO"/>
        </w:rPr>
        <w:t>obiecțiilor și propunerilor/recomandărilor</w:t>
      </w:r>
      <w:r w:rsidR="003C56ED" w:rsidRPr="00691358">
        <w:rPr>
          <w:b/>
          <w:i/>
          <w:lang w:val="ro-RO"/>
        </w:rPr>
        <w:t xml:space="preserve"> </w:t>
      </w:r>
      <w:r w:rsidR="00D4475F" w:rsidRPr="00691358">
        <w:rPr>
          <w:b/>
          <w:i/>
          <w:lang w:val="ro-RO"/>
        </w:rPr>
        <w:t xml:space="preserve">prezentate de către </w:t>
      </w:r>
      <w:proofErr w:type="spellStart"/>
      <w:r w:rsidR="00D4475F" w:rsidRPr="00691358">
        <w:rPr>
          <w:b/>
          <w:i/>
          <w:lang w:val="ro-RO"/>
        </w:rPr>
        <w:t>părţile</w:t>
      </w:r>
      <w:proofErr w:type="spellEnd"/>
      <w:r w:rsidR="00D4475F" w:rsidRPr="00691358">
        <w:rPr>
          <w:b/>
          <w:i/>
          <w:lang w:val="ro-RO"/>
        </w:rPr>
        <w:t xml:space="preserve"> consultate la proiectul</w:t>
      </w:r>
      <w:r w:rsidR="007D4607" w:rsidRPr="00691358">
        <w:rPr>
          <w:b/>
          <w:i/>
          <w:lang w:val="ro-RO"/>
        </w:rPr>
        <w:t xml:space="preserve"> </w:t>
      </w:r>
      <w:r w:rsidR="006A3C01" w:rsidRPr="00691358">
        <w:rPr>
          <w:b/>
          <w:bCs/>
          <w:i/>
          <w:iCs/>
          <w:lang w:val="ro-RO"/>
        </w:rPr>
        <w:t>Hotărârii</w:t>
      </w:r>
      <w:r w:rsidR="00FE08CA" w:rsidRPr="00691358">
        <w:rPr>
          <w:b/>
          <w:i/>
          <w:iCs/>
          <w:lang w:val="ro-RO"/>
        </w:rPr>
        <w:t xml:space="preserve"> </w:t>
      </w:r>
      <w:r w:rsidR="009A2DBE" w:rsidRPr="00691358">
        <w:rPr>
          <w:b/>
          <w:bCs/>
          <w:i/>
          <w:iCs/>
          <w:lang w:val="ro-RO"/>
        </w:rPr>
        <w:t>ANRE</w:t>
      </w:r>
    </w:p>
    <w:p w14:paraId="42C04F13" w14:textId="2668F4C2" w:rsidR="002E4DBD" w:rsidRPr="00D879B0" w:rsidRDefault="009A2DBE" w:rsidP="00C778ED">
      <w:pPr>
        <w:jc w:val="center"/>
        <w:rPr>
          <w:b/>
          <w:bCs/>
          <w:i/>
          <w:iCs/>
          <w:lang w:val="ro-RO"/>
        </w:rPr>
      </w:pPr>
      <w:r w:rsidRPr="00691358">
        <w:rPr>
          <w:b/>
          <w:bCs/>
          <w:i/>
          <w:iCs/>
          <w:lang w:val="ro-RO"/>
        </w:rPr>
        <w:t xml:space="preserve"> </w:t>
      </w:r>
      <w:r w:rsidR="007E0798" w:rsidRPr="00691358">
        <w:rPr>
          <w:b/>
          <w:bCs/>
          <w:i/>
          <w:iCs/>
          <w:lang w:val="it-IT" w:eastAsia="ro-RO"/>
        </w:rPr>
        <w:t xml:space="preserve">cu </w:t>
      </w:r>
      <w:proofErr w:type="spellStart"/>
      <w:r w:rsidR="007E0798" w:rsidRPr="00691358">
        <w:rPr>
          <w:b/>
          <w:bCs/>
          <w:i/>
          <w:iCs/>
          <w:lang w:val="it-IT" w:eastAsia="ro-RO"/>
        </w:rPr>
        <w:t>privire</w:t>
      </w:r>
      <w:proofErr w:type="spellEnd"/>
      <w:r w:rsidR="007E0798" w:rsidRPr="00691358">
        <w:rPr>
          <w:b/>
          <w:bCs/>
          <w:i/>
          <w:iCs/>
          <w:lang w:val="it-IT" w:eastAsia="ro-RO"/>
        </w:rPr>
        <w:t xml:space="preserve"> la </w:t>
      </w:r>
      <w:proofErr w:type="spellStart"/>
      <w:r w:rsidR="007E0798" w:rsidRPr="00691358">
        <w:rPr>
          <w:b/>
          <w:bCs/>
          <w:i/>
          <w:iCs/>
          <w:lang w:val="it-IT" w:eastAsia="ro-RO"/>
        </w:rPr>
        <w:t>aprobarea</w:t>
      </w:r>
      <w:proofErr w:type="spellEnd"/>
      <w:r w:rsidR="007E0798" w:rsidRPr="00691358">
        <w:rPr>
          <w:b/>
          <w:bCs/>
          <w:i/>
          <w:iCs/>
          <w:lang w:val="it-IT" w:eastAsia="ro-RO"/>
        </w:rPr>
        <w:t xml:space="preserve"> </w:t>
      </w:r>
      <w:r w:rsidR="00D879B0" w:rsidRPr="00D879B0">
        <w:rPr>
          <w:b/>
          <w:bCs/>
          <w:i/>
          <w:iCs/>
          <w:lang w:val="ro-RO"/>
        </w:rPr>
        <w:t>Metodologiei de calculare a p</w:t>
      </w:r>
      <w:bookmarkStart w:id="0" w:name="_GoBack"/>
      <w:bookmarkEnd w:id="0"/>
      <w:r w:rsidR="00D879B0" w:rsidRPr="00D879B0">
        <w:rPr>
          <w:b/>
          <w:bCs/>
          <w:i/>
          <w:iCs/>
          <w:lang w:val="ro-RO"/>
        </w:rPr>
        <w:t>lăților pentru neutralitate</w:t>
      </w:r>
    </w:p>
    <w:tbl>
      <w:tblPr>
        <w:tblStyle w:val="GridTable1Light"/>
        <w:tblpPr w:leftFromText="180" w:rightFromText="180" w:vertAnchor="page" w:horzAnchor="margin" w:tblpX="269" w:tblpY="15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firstRow="1" w:lastRow="1" w:firstColumn="0" w:lastColumn="1" w:noHBand="0" w:noVBand="0"/>
      </w:tblPr>
      <w:tblGrid>
        <w:gridCol w:w="983"/>
        <w:gridCol w:w="1809"/>
        <w:gridCol w:w="3932"/>
        <w:gridCol w:w="5163"/>
        <w:gridCol w:w="3129"/>
      </w:tblGrid>
      <w:tr w:rsidR="00293BFC" w:rsidRPr="00B3091C" w14:paraId="34CEEC77" w14:textId="77777777" w:rsidTr="006C7A87">
        <w:trPr>
          <w:cnfStyle w:val="100000000000" w:firstRow="1" w:lastRow="0" w:firstColumn="0" w:lastColumn="0" w:oddVBand="0" w:evenVBand="0" w:oddHBand="0" w:evenHBand="0" w:firstRowFirstColumn="0" w:firstRowLastColumn="0" w:lastRowFirstColumn="0" w:lastRowLastColumn="0"/>
          <w:trHeight w:val="1011"/>
        </w:trPr>
        <w:tc>
          <w:tcPr>
            <w:tcW w:w="327" w:type="pct"/>
            <w:tcBorders>
              <w:bottom w:val="single" w:sz="4" w:space="0" w:color="auto"/>
            </w:tcBorders>
            <w:vAlign w:val="center"/>
          </w:tcPr>
          <w:p w14:paraId="65A22F54" w14:textId="19569046" w:rsidR="00D549BA" w:rsidRPr="000B038D" w:rsidRDefault="00D549BA" w:rsidP="007D4607">
            <w:pPr>
              <w:jc w:val="center"/>
              <w:rPr>
                <w:sz w:val="22"/>
                <w:szCs w:val="22"/>
                <w:lang w:val="ro-RO"/>
              </w:rPr>
            </w:pPr>
            <w:r w:rsidRPr="000B038D">
              <w:rPr>
                <w:sz w:val="22"/>
                <w:szCs w:val="22"/>
                <w:lang w:val="ro-RO"/>
              </w:rPr>
              <w:t>Pct.</w:t>
            </w:r>
          </w:p>
        </w:tc>
        <w:tc>
          <w:tcPr>
            <w:tcW w:w="602" w:type="pct"/>
            <w:tcBorders>
              <w:bottom w:val="single" w:sz="4" w:space="0" w:color="auto"/>
            </w:tcBorders>
            <w:vAlign w:val="center"/>
          </w:tcPr>
          <w:p w14:paraId="19FE932B" w14:textId="6BD921B3" w:rsidR="00D549BA" w:rsidRPr="000B038D" w:rsidRDefault="00D549BA" w:rsidP="007D4607">
            <w:pPr>
              <w:jc w:val="center"/>
              <w:rPr>
                <w:sz w:val="22"/>
                <w:szCs w:val="22"/>
                <w:lang w:val="en-GB"/>
              </w:rPr>
            </w:pPr>
            <w:proofErr w:type="spellStart"/>
            <w:r w:rsidRPr="000B038D">
              <w:rPr>
                <w:sz w:val="22"/>
                <w:szCs w:val="22"/>
                <w:lang w:val="en-GB"/>
              </w:rPr>
              <w:t>Participantul</w:t>
            </w:r>
            <w:proofErr w:type="spellEnd"/>
            <w:r w:rsidRPr="000B038D">
              <w:rPr>
                <w:sz w:val="22"/>
                <w:szCs w:val="22"/>
                <w:lang w:val="en-GB"/>
              </w:rPr>
              <w:t xml:space="preserve"> la </w:t>
            </w:r>
            <w:proofErr w:type="spellStart"/>
            <w:r w:rsidRPr="000B038D">
              <w:rPr>
                <w:sz w:val="22"/>
                <w:szCs w:val="22"/>
                <w:lang w:val="en-GB"/>
              </w:rPr>
              <w:t>avizare</w:t>
            </w:r>
            <w:proofErr w:type="spellEnd"/>
            <w:r w:rsidRPr="000B038D">
              <w:rPr>
                <w:sz w:val="22"/>
                <w:szCs w:val="22"/>
                <w:lang w:val="en-GB"/>
              </w:rPr>
              <w:t>/</w:t>
            </w:r>
            <w:r w:rsidR="00BB0FC9" w:rsidRPr="000B038D">
              <w:rPr>
                <w:sz w:val="22"/>
                <w:szCs w:val="22"/>
                <w:lang w:val="en-GB"/>
              </w:rPr>
              <w:t xml:space="preserve"> </w:t>
            </w:r>
            <w:proofErr w:type="spellStart"/>
            <w:r w:rsidRPr="000B038D">
              <w:rPr>
                <w:sz w:val="22"/>
                <w:szCs w:val="22"/>
                <w:lang w:val="en-GB"/>
              </w:rPr>
              <w:t>expertizare</w:t>
            </w:r>
            <w:proofErr w:type="spellEnd"/>
          </w:p>
        </w:tc>
        <w:tc>
          <w:tcPr>
            <w:tcW w:w="1309" w:type="pct"/>
            <w:tcBorders>
              <w:bottom w:val="single" w:sz="4" w:space="0" w:color="auto"/>
            </w:tcBorders>
            <w:vAlign w:val="center"/>
          </w:tcPr>
          <w:p w14:paraId="56609071" w14:textId="253EC533" w:rsidR="00D549BA" w:rsidRPr="000B038D" w:rsidRDefault="00D549BA" w:rsidP="007D4607">
            <w:pPr>
              <w:jc w:val="center"/>
              <w:rPr>
                <w:sz w:val="22"/>
                <w:szCs w:val="22"/>
                <w:lang w:val="ro-MD"/>
              </w:rPr>
            </w:pPr>
            <w:r w:rsidRPr="000B038D">
              <w:rPr>
                <w:sz w:val="22"/>
                <w:szCs w:val="22"/>
                <w:lang w:val="ro-RO"/>
              </w:rPr>
              <w:t>Text conform proiectului</w:t>
            </w:r>
          </w:p>
        </w:tc>
        <w:tc>
          <w:tcPr>
            <w:tcW w:w="1719" w:type="pct"/>
            <w:tcBorders>
              <w:bottom w:val="single" w:sz="4" w:space="0" w:color="auto"/>
            </w:tcBorders>
            <w:vAlign w:val="center"/>
          </w:tcPr>
          <w:p w14:paraId="5768ABD9" w14:textId="002D9F47" w:rsidR="00D549BA" w:rsidRPr="000B038D" w:rsidRDefault="00D549BA" w:rsidP="007D4607">
            <w:pPr>
              <w:jc w:val="center"/>
              <w:rPr>
                <w:sz w:val="22"/>
                <w:szCs w:val="22"/>
                <w:lang w:val="ro-MD"/>
              </w:rPr>
            </w:pPr>
            <w:proofErr w:type="spellStart"/>
            <w:r w:rsidRPr="000B038D">
              <w:rPr>
                <w:sz w:val="22"/>
                <w:szCs w:val="22"/>
                <w:lang w:val="ro-RO"/>
              </w:rPr>
              <w:t>Redacţia</w:t>
            </w:r>
            <w:proofErr w:type="spellEnd"/>
            <w:r w:rsidRPr="000B038D">
              <w:rPr>
                <w:sz w:val="22"/>
                <w:szCs w:val="22"/>
                <w:lang w:val="ro-RO"/>
              </w:rPr>
              <w:t xml:space="preserve"> propusă de</w:t>
            </w:r>
            <w:r w:rsidR="00BC6625" w:rsidRPr="000B038D">
              <w:rPr>
                <w:sz w:val="22"/>
                <w:szCs w:val="22"/>
                <w:lang w:val="ro-RO"/>
              </w:rPr>
              <w:t xml:space="preserve"> </w:t>
            </w:r>
            <w:proofErr w:type="spellStart"/>
            <w:r w:rsidR="00BC6625" w:rsidRPr="000B038D">
              <w:rPr>
                <w:sz w:val="22"/>
                <w:szCs w:val="22"/>
                <w:lang w:val="ro-RO"/>
              </w:rPr>
              <w:t>inst</w:t>
            </w:r>
            <w:r w:rsidR="00FE08CA" w:rsidRPr="000B038D">
              <w:rPr>
                <w:sz w:val="22"/>
                <w:szCs w:val="22"/>
                <w:lang w:val="ro-RO"/>
              </w:rPr>
              <w:t>i</w:t>
            </w:r>
            <w:r w:rsidRPr="000B038D">
              <w:rPr>
                <w:sz w:val="22"/>
                <w:szCs w:val="22"/>
                <w:lang w:val="ro-RO"/>
              </w:rPr>
              <w:t>tuţia</w:t>
            </w:r>
            <w:proofErr w:type="spellEnd"/>
            <w:r w:rsidRPr="000B038D">
              <w:rPr>
                <w:sz w:val="22"/>
                <w:szCs w:val="22"/>
                <w:lang w:val="ro-RO"/>
              </w:rPr>
              <w:t xml:space="preserve"> care a prezentat avizul</w:t>
            </w:r>
          </w:p>
        </w:tc>
        <w:tc>
          <w:tcPr>
            <w:cnfStyle w:val="000100000000" w:firstRow="0" w:lastRow="0" w:firstColumn="0" w:lastColumn="1" w:oddVBand="0" w:evenVBand="0" w:oddHBand="0" w:evenHBand="0" w:firstRowFirstColumn="0" w:firstRowLastColumn="0" w:lastRowFirstColumn="0" w:lastRowLastColumn="0"/>
            <w:tcW w:w="1042" w:type="pct"/>
            <w:tcBorders>
              <w:bottom w:val="single" w:sz="4" w:space="0" w:color="auto"/>
            </w:tcBorders>
            <w:vAlign w:val="center"/>
          </w:tcPr>
          <w:p w14:paraId="659589A8" w14:textId="0A0C1C94" w:rsidR="00D549BA" w:rsidRPr="000B038D" w:rsidRDefault="00D549BA" w:rsidP="007D4607">
            <w:pPr>
              <w:jc w:val="center"/>
              <w:rPr>
                <w:sz w:val="22"/>
                <w:szCs w:val="22"/>
                <w:lang w:val="en-GB"/>
              </w:rPr>
            </w:pPr>
            <w:r w:rsidRPr="000B038D">
              <w:rPr>
                <w:sz w:val="22"/>
                <w:szCs w:val="22"/>
                <w:lang w:val="ro-RO"/>
              </w:rPr>
              <w:t>Argumentele privind acceptarea sau respingerea propunerii</w:t>
            </w:r>
          </w:p>
        </w:tc>
      </w:tr>
      <w:tr w:rsidR="0075497B" w:rsidRPr="00B3091C" w14:paraId="401AC6C6" w14:textId="77777777" w:rsidTr="00D7413C">
        <w:trPr>
          <w:trHeight w:val="4785"/>
        </w:trPr>
        <w:tc>
          <w:tcPr>
            <w:tcW w:w="327" w:type="pct"/>
            <w:tcBorders>
              <w:bottom w:val="single" w:sz="4" w:space="0" w:color="auto"/>
            </w:tcBorders>
            <w:vAlign w:val="center"/>
          </w:tcPr>
          <w:p w14:paraId="1CDB3053" w14:textId="77777777" w:rsidR="0075497B" w:rsidRPr="000B038D" w:rsidRDefault="0075497B" w:rsidP="007D4607">
            <w:pPr>
              <w:jc w:val="center"/>
              <w:rPr>
                <w:sz w:val="22"/>
                <w:szCs w:val="22"/>
                <w:lang w:val="ro-RO"/>
              </w:rPr>
            </w:pPr>
          </w:p>
        </w:tc>
        <w:tc>
          <w:tcPr>
            <w:tcW w:w="602" w:type="pct"/>
            <w:tcBorders>
              <w:bottom w:val="single" w:sz="4" w:space="0" w:color="auto"/>
            </w:tcBorders>
            <w:vAlign w:val="center"/>
          </w:tcPr>
          <w:p w14:paraId="7302A9ED" w14:textId="77777777" w:rsidR="0075497B" w:rsidRDefault="0075497B" w:rsidP="0075497B">
            <w:pPr>
              <w:jc w:val="center"/>
              <w:rPr>
                <w:sz w:val="22"/>
                <w:szCs w:val="22"/>
                <w:lang w:val="en-GB"/>
              </w:rPr>
            </w:pPr>
            <w:proofErr w:type="spellStart"/>
            <w:r>
              <w:rPr>
                <w:sz w:val="22"/>
                <w:szCs w:val="22"/>
                <w:lang w:val="en-GB"/>
              </w:rPr>
              <w:t>Ministerul</w:t>
            </w:r>
            <w:proofErr w:type="spellEnd"/>
            <w:r>
              <w:rPr>
                <w:sz w:val="22"/>
                <w:szCs w:val="22"/>
                <w:lang w:val="en-GB"/>
              </w:rPr>
              <w:t xml:space="preserve"> Energiei </w:t>
            </w:r>
          </w:p>
          <w:p w14:paraId="1FD9B2A7" w14:textId="59256C49" w:rsidR="0075497B" w:rsidRPr="000B038D" w:rsidRDefault="0075497B" w:rsidP="0075497B">
            <w:pPr>
              <w:ind w:hanging="109"/>
              <w:jc w:val="center"/>
              <w:rPr>
                <w:sz w:val="22"/>
                <w:szCs w:val="22"/>
                <w:lang w:val="en-GB"/>
              </w:rPr>
            </w:pPr>
            <w:r>
              <w:rPr>
                <w:sz w:val="22"/>
                <w:szCs w:val="22"/>
                <w:lang w:val="en-GB"/>
              </w:rPr>
              <w:t>(</w:t>
            </w:r>
            <w:proofErr w:type="spellStart"/>
            <w:r>
              <w:rPr>
                <w:sz w:val="22"/>
                <w:szCs w:val="22"/>
                <w:lang w:val="en-GB"/>
              </w:rPr>
              <w:t>aviz</w:t>
            </w:r>
            <w:proofErr w:type="spellEnd"/>
            <w:r>
              <w:rPr>
                <w:sz w:val="22"/>
                <w:szCs w:val="22"/>
                <w:lang w:val="en-GB"/>
              </w:rPr>
              <w:t xml:space="preserve"> </w:t>
            </w:r>
            <w:proofErr w:type="spellStart"/>
            <w:r>
              <w:rPr>
                <w:sz w:val="22"/>
                <w:szCs w:val="22"/>
                <w:lang w:val="en-GB"/>
              </w:rPr>
              <w:t>nr</w:t>
            </w:r>
            <w:proofErr w:type="spellEnd"/>
            <w:r>
              <w:rPr>
                <w:sz w:val="22"/>
                <w:szCs w:val="22"/>
                <w:lang w:val="en-GB"/>
              </w:rPr>
              <w:t>. 07-2374)</w:t>
            </w:r>
          </w:p>
        </w:tc>
        <w:tc>
          <w:tcPr>
            <w:tcW w:w="3028" w:type="pct"/>
            <w:gridSpan w:val="2"/>
            <w:tcBorders>
              <w:bottom w:val="single" w:sz="4" w:space="0" w:color="auto"/>
            </w:tcBorders>
            <w:vAlign w:val="center"/>
          </w:tcPr>
          <w:p w14:paraId="5794B014" w14:textId="77777777" w:rsidR="0075497B" w:rsidRDefault="0075497B" w:rsidP="0075497B">
            <w:pPr>
              <w:jc w:val="both"/>
              <w:rPr>
                <w:lang w:val="en-US"/>
              </w:rPr>
            </w:pPr>
            <w:proofErr w:type="spellStart"/>
            <w:r w:rsidRPr="0075497B">
              <w:rPr>
                <w:lang w:val="en-US"/>
              </w:rPr>
              <w:t>Urmare</w:t>
            </w:r>
            <w:proofErr w:type="spellEnd"/>
            <w:r w:rsidRPr="0075497B">
              <w:rPr>
                <w:lang w:val="en-US"/>
              </w:rPr>
              <w:t xml:space="preserve"> </w:t>
            </w:r>
            <w:proofErr w:type="spellStart"/>
            <w:r w:rsidRPr="0075497B">
              <w:rPr>
                <w:lang w:val="en-US"/>
              </w:rPr>
              <w:t>examinării</w:t>
            </w:r>
            <w:proofErr w:type="spellEnd"/>
            <w:r w:rsidRPr="0075497B">
              <w:rPr>
                <w:lang w:val="en-US"/>
              </w:rPr>
              <w:t xml:space="preserve"> </w:t>
            </w:r>
            <w:proofErr w:type="spellStart"/>
            <w:r w:rsidRPr="0075497B">
              <w:rPr>
                <w:lang w:val="en-US"/>
              </w:rPr>
              <w:t>proiectului</w:t>
            </w:r>
            <w:proofErr w:type="spellEnd"/>
            <w:r w:rsidRPr="0075497B">
              <w:rPr>
                <w:lang w:val="en-US"/>
              </w:rPr>
              <w:t xml:space="preserve"> „</w:t>
            </w:r>
            <w:proofErr w:type="spellStart"/>
            <w:r w:rsidRPr="0075497B">
              <w:rPr>
                <w:lang w:val="en-US"/>
              </w:rPr>
              <w:t>Metodologia</w:t>
            </w:r>
            <w:proofErr w:type="spellEnd"/>
            <w:r w:rsidRPr="0075497B">
              <w:rPr>
                <w:lang w:val="en-US"/>
              </w:rPr>
              <w:t xml:space="preserve"> de </w:t>
            </w:r>
            <w:proofErr w:type="spellStart"/>
            <w:r w:rsidRPr="0075497B">
              <w:rPr>
                <w:lang w:val="en-US"/>
              </w:rPr>
              <w:t>calculare</w:t>
            </w:r>
            <w:proofErr w:type="spellEnd"/>
            <w:r w:rsidRPr="0075497B">
              <w:rPr>
                <w:lang w:val="en-US"/>
              </w:rPr>
              <w:t xml:space="preserve"> a </w:t>
            </w:r>
            <w:proofErr w:type="spellStart"/>
            <w:r w:rsidRPr="0075497B">
              <w:rPr>
                <w:lang w:val="en-US"/>
              </w:rPr>
              <w:t>plăților</w:t>
            </w:r>
            <w:proofErr w:type="spellEnd"/>
            <w:r w:rsidRPr="0075497B">
              <w:rPr>
                <w:lang w:val="en-US"/>
              </w:rPr>
              <w:t xml:space="preserve"> </w:t>
            </w:r>
            <w:proofErr w:type="spellStart"/>
            <w:r w:rsidRPr="0075497B">
              <w:rPr>
                <w:lang w:val="en-US"/>
              </w:rPr>
              <w:t>pentru</w:t>
            </w:r>
            <w:proofErr w:type="spellEnd"/>
            <w:r w:rsidRPr="0075497B">
              <w:rPr>
                <w:lang w:val="en-US"/>
              </w:rPr>
              <w:t xml:space="preserve"> </w:t>
            </w:r>
            <w:proofErr w:type="spellStart"/>
            <w:r w:rsidRPr="0075497B">
              <w:rPr>
                <w:lang w:val="en-US"/>
              </w:rPr>
              <w:t>neutralitate</w:t>
            </w:r>
            <w:proofErr w:type="spellEnd"/>
            <w:r w:rsidRPr="0075497B">
              <w:rPr>
                <w:lang w:val="en-US"/>
              </w:rPr>
              <w:t xml:space="preserve">”, </w:t>
            </w:r>
            <w:proofErr w:type="spellStart"/>
            <w:r w:rsidRPr="0075497B">
              <w:rPr>
                <w:lang w:val="en-US"/>
              </w:rPr>
              <w:t>în</w:t>
            </w:r>
            <w:proofErr w:type="spellEnd"/>
            <w:r w:rsidRPr="0075497B">
              <w:rPr>
                <w:lang w:val="en-US"/>
              </w:rPr>
              <w:t xml:space="preserve"> </w:t>
            </w:r>
            <w:proofErr w:type="spellStart"/>
            <w:r w:rsidRPr="0075497B">
              <w:rPr>
                <w:lang w:val="en-US"/>
              </w:rPr>
              <w:t>cadrul</w:t>
            </w:r>
            <w:proofErr w:type="spellEnd"/>
            <w:r w:rsidRPr="0075497B">
              <w:rPr>
                <w:lang w:val="en-US"/>
              </w:rPr>
              <w:t xml:space="preserve"> </w:t>
            </w:r>
            <w:proofErr w:type="spellStart"/>
            <w:r w:rsidRPr="0075497B">
              <w:rPr>
                <w:lang w:val="en-US"/>
              </w:rPr>
              <w:t>competențelor</w:t>
            </w:r>
            <w:proofErr w:type="spellEnd"/>
            <w:r w:rsidRPr="0075497B">
              <w:rPr>
                <w:lang w:val="en-US"/>
              </w:rPr>
              <w:t xml:space="preserve"> </w:t>
            </w:r>
            <w:proofErr w:type="spellStart"/>
            <w:r w:rsidRPr="0075497B">
              <w:rPr>
                <w:lang w:val="en-US"/>
              </w:rPr>
              <w:t>funcționale</w:t>
            </w:r>
            <w:proofErr w:type="spellEnd"/>
            <w:r w:rsidRPr="0075497B">
              <w:rPr>
                <w:lang w:val="en-US"/>
              </w:rPr>
              <w:t xml:space="preserve">, </w:t>
            </w:r>
            <w:proofErr w:type="spellStart"/>
            <w:r w:rsidRPr="0075497B">
              <w:rPr>
                <w:lang w:val="en-US"/>
              </w:rPr>
              <w:t>susținem</w:t>
            </w:r>
            <w:proofErr w:type="spellEnd"/>
            <w:r w:rsidRPr="0075497B">
              <w:rPr>
                <w:lang w:val="en-US"/>
              </w:rPr>
              <w:t xml:space="preserve"> </w:t>
            </w:r>
            <w:proofErr w:type="spellStart"/>
            <w:r w:rsidRPr="0075497B">
              <w:rPr>
                <w:lang w:val="en-US"/>
              </w:rPr>
              <w:t>aprobarea</w:t>
            </w:r>
            <w:proofErr w:type="spellEnd"/>
            <w:r w:rsidRPr="0075497B">
              <w:rPr>
                <w:lang w:val="en-US"/>
              </w:rPr>
              <w:t xml:space="preserve"> </w:t>
            </w:r>
            <w:proofErr w:type="spellStart"/>
            <w:r w:rsidRPr="0075497B">
              <w:rPr>
                <w:lang w:val="en-US"/>
              </w:rPr>
              <w:t>acestuia</w:t>
            </w:r>
            <w:proofErr w:type="spellEnd"/>
            <w:r w:rsidRPr="0075497B">
              <w:rPr>
                <w:lang w:val="en-US"/>
              </w:rPr>
              <w:t xml:space="preserve"> </w:t>
            </w:r>
            <w:proofErr w:type="spellStart"/>
            <w:r w:rsidRPr="0075497B">
              <w:rPr>
                <w:lang w:val="en-US"/>
              </w:rPr>
              <w:t>și</w:t>
            </w:r>
            <w:proofErr w:type="spellEnd"/>
            <w:r w:rsidRPr="0075497B">
              <w:rPr>
                <w:lang w:val="en-US"/>
              </w:rPr>
              <w:t xml:space="preserve"> </w:t>
            </w:r>
            <w:proofErr w:type="spellStart"/>
            <w:r w:rsidRPr="0075497B">
              <w:rPr>
                <w:lang w:val="en-US"/>
              </w:rPr>
              <w:t>considerăm</w:t>
            </w:r>
            <w:proofErr w:type="spellEnd"/>
            <w:r w:rsidRPr="0075497B">
              <w:rPr>
                <w:lang w:val="en-US"/>
              </w:rPr>
              <w:t xml:space="preserve"> </w:t>
            </w:r>
            <w:proofErr w:type="spellStart"/>
            <w:r w:rsidRPr="0075497B">
              <w:rPr>
                <w:lang w:val="en-US"/>
              </w:rPr>
              <w:t>că</w:t>
            </w:r>
            <w:proofErr w:type="spellEnd"/>
            <w:r w:rsidRPr="0075497B">
              <w:rPr>
                <w:lang w:val="en-US"/>
              </w:rPr>
              <w:t xml:space="preserve"> </w:t>
            </w:r>
            <w:proofErr w:type="spellStart"/>
            <w:r w:rsidRPr="0075497B">
              <w:rPr>
                <w:lang w:val="en-US"/>
              </w:rPr>
              <w:t>implementarea</w:t>
            </w:r>
            <w:proofErr w:type="spellEnd"/>
            <w:r w:rsidRPr="0075497B">
              <w:rPr>
                <w:lang w:val="en-US"/>
              </w:rPr>
              <w:t xml:space="preserve"> </w:t>
            </w:r>
            <w:proofErr w:type="spellStart"/>
            <w:r w:rsidRPr="0075497B">
              <w:rPr>
                <w:lang w:val="en-US"/>
              </w:rPr>
              <w:t>sa</w:t>
            </w:r>
            <w:proofErr w:type="spellEnd"/>
            <w:r w:rsidRPr="0075497B">
              <w:rPr>
                <w:lang w:val="en-US"/>
              </w:rPr>
              <w:t xml:space="preserve"> </w:t>
            </w:r>
            <w:proofErr w:type="spellStart"/>
            <w:r w:rsidRPr="0075497B">
              <w:rPr>
                <w:lang w:val="en-US"/>
              </w:rPr>
              <w:t>va</w:t>
            </w:r>
            <w:proofErr w:type="spellEnd"/>
            <w:r w:rsidRPr="0075497B">
              <w:rPr>
                <w:lang w:val="en-US"/>
              </w:rPr>
              <w:t xml:space="preserve"> </w:t>
            </w:r>
            <w:proofErr w:type="spellStart"/>
            <w:r w:rsidRPr="0075497B">
              <w:rPr>
                <w:lang w:val="en-US"/>
              </w:rPr>
              <w:t>aduce</w:t>
            </w:r>
            <w:proofErr w:type="spellEnd"/>
            <w:r w:rsidRPr="0075497B">
              <w:rPr>
                <w:lang w:val="en-US"/>
              </w:rPr>
              <w:t xml:space="preserve"> </w:t>
            </w:r>
            <w:proofErr w:type="spellStart"/>
            <w:r w:rsidRPr="0075497B">
              <w:rPr>
                <w:lang w:val="en-US"/>
              </w:rPr>
              <w:t>beneficii</w:t>
            </w:r>
            <w:proofErr w:type="spellEnd"/>
            <w:r w:rsidRPr="0075497B">
              <w:rPr>
                <w:lang w:val="en-US"/>
              </w:rPr>
              <w:t xml:space="preserve"> </w:t>
            </w:r>
            <w:proofErr w:type="spellStart"/>
            <w:r w:rsidRPr="0075497B">
              <w:rPr>
                <w:lang w:val="en-US"/>
              </w:rPr>
              <w:t>semnificative</w:t>
            </w:r>
            <w:proofErr w:type="spellEnd"/>
            <w:r w:rsidRPr="0075497B">
              <w:rPr>
                <w:lang w:val="en-US"/>
              </w:rPr>
              <w:t xml:space="preserve"> </w:t>
            </w:r>
            <w:proofErr w:type="spellStart"/>
            <w:r w:rsidRPr="0075497B">
              <w:rPr>
                <w:lang w:val="en-US"/>
              </w:rPr>
              <w:t>sectorului</w:t>
            </w:r>
            <w:proofErr w:type="spellEnd"/>
            <w:r w:rsidRPr="0075497B">
              <w:rPr>
                <w:lang w:val="en-US"/>
              </w:rPr>
              <w:t xml:space="preserve"> energetic al </w:t>
            </w:r>
            <w:proofErr w:type="spellStart"/>
            <w:r w:rsidRPr="0075497B">
              <w:rPr>
                <w:lang w:val="en-US"/>
              </w:rPr>
              <w:t>Republicii</w:t>
            </w:r>
            <w:proofErr w:type="spellEnd"/>
            <w:r w:rsidRPr="0075497B">
              <w:rPr>
                <w:lang w:val="en-US"/>
              </w:rPr>
              <w:t xml:space="preserve"> Moldova. Cu </w:t>
            </w:r>
            <w:proofErr w:type="spellStart"/>
            <w:r w:rsidRPr="0075497B">
              <w:rPr>
                <w:lang w:val="en-US"/>
              </w:rPr>
              <w:t>toate</w:t>
            </w:r>
            <w:proofErr w:type="spellEnd"/>
            <w:r w:rsidRPr="0075497B">
              <w:rPr>
                <w:lang w:val="en-US"/>
              </w:rPr>
              <w:t xml:space="preserve"> </w:t>
            </w:r>
            <w:proofErr w:type="spellStart"/>
            <w:r w:rsidRPr="0075497B">
              <w:rPr>
                <w:lang w:val="en-US"/>
              </w:rPr>
              <w:t>acestea</w:t>
            </w:r>
            <w:proofErr w:type="spellEnd"/>
            <w:r w:rsidRPr="0075497B">
              <w:rPr>
                <w:lang w:val="en-US"/>
              </w:rPr>
              <w:t xml:space="preserve">, </w:t>
            </w:r>
            <w:proofErr w:type="spellStart"/>
            <w:r w:rsidRPr="0075497B">
              <w:rPr>
                <w:lang w:val="en-US"/>
              </w:rPr>
              <w:t>în</w:t>
            </w:r>
            <w:proofErr w:type="spellEnd"/>
            <w:r w:rsidRPr="0075497B">
              <w:rPr>
                <w:lang w:val="en-US"/>
              </w:rPr>
              <w:t xml:space="preserve"> </w:t>
            </w:r>
            <w:proofErr w:type="spellStart"/>
            <w:r w:rsidRPr="0075497B">
              <w:rPr>
                <w:lang w:val="en-US"/>
              </w:rPr>
              <w:t>urma</w:t>
            </w:r>
            <w:proofErr w:type="spellEnd"/>
            <w:r w:rsidRPr="0075497B">
              <w:rPr>
                <w:lang w:val="en-US"/>
              </w:rPr>
              <w:t xml:space="preserve"> </w:t>
            </w:r>
            <w:proofErr w:type="spellStart"/>
            <w:r w:rsidRPr="0075497B">
              <w:rPr>
                <w:lang w:val="en-US"/>
              </w:rPr>
              <w:t>analizei</w:t>
            </w:r>
            <w:proofErr w:type="spellEnd"/>
            <w:r w:rsidRPr="0075497B">
              <w:rPr>
                <w:lang w:val="en-US"/>
              </w:rPr>
              <w:t xml:space="preserve"> </w:t>
            </w:r>
            <w:proofErr w:type="spellStart"/>
            <w:r w:rsidRPr="0075497B">
              <w:rPr>
                <w:lang w:val="en-US"/>
              </w:rPr>
              <w:t>detaliate</w:t>
            </w:r>
            <w:proofErr w:type="spellEnd"/>
            <w:r w:rsidRPr="0075497B">
              <w:rPr>
                <w:lang w:val="en-US"/>
              </w:rPr>
              <w:t xml:space="preserve"> a </w:t>
            </w:r>
            <w:proofErr w:type="spellStart"/>
            <w:r w:rsidRPr="0075497B">
              <w:rPr>
                <w:lang w:val="en-US"/>
              </w:rPr>
              <w:t>proiectului</w:t>
            </w:r>
            <w:proofErr w:type="spellEnd"/>
            <w:r w:rsidRPr="0075497B">
              <w:rPr>
                <w:lang w:val="en-US"/>
              </w:rPr>
              <w:t xml:space="preserve">, </w:t>
            </w:r>
            <w:proofErr w:type="spellStart"/>
            <w:r w:rsidRPr="0075497B">
              <w:rPr>
                <w:lang w:val="en-US"/>
              </w:rPr>
              <w:t>dorim</w:t>
            </w:r>
            <w:proofErr w:type="spellEnd"/>
            <w:r w:rsidRPr="0075497B">
              <w:rPr>
                <w:lang w:val="en-US"/>
              </w:rPr>
              <w:t xml:space="preserve"> </w:t>
            </w:r>
            <w:proofErr w:type="spellStart"/>
            <w:r w:rsidRPr="0075497B">
              <w:rPr>
                <w:lang w:val="en-US"/>
              </w:rPr>
              <w:t>să</w:t>
            </w:r>
            <w:proofErr w:type="spellEnd"/>
            <w:r w:rsidRPr="0075497B">
              <w:rPr>
                <w:lang w:val="en-US"/>
              </w:rPr>
              <w:t xml:space="preserve"> </w:t>
            </w:r>
            <w:proofErr w:type="spellStart"/>
            <w:r w:rsidRPr="0075497B">
              <w:rPr>
                <w:lang w:val="en-US"/>
              </w:rPr>
              <w:t>solicităm</w:t>
            </w:r>
            <w:proofErr w:type="spellEnd"/>
            <w:r w:rsidRPr="0075497B">
              <w:rPr>
                <w:lang w:val="en-US"/>
              </w:rPr>
              <w:t xml:space="preserve"> </w:t>
            </w:r>
            <w:proofErr w:type="spellStart"/>
            <w:r w:rsidRPr="0075497B">
              <w:rPr>
                <w:lang w:val="en-US"/>
              </w:rPr>
              <w:t>următoarele</w:t>
            </w:r>
            <w:proofErr w:type="spellEnd"/>
            <w:r w:rsidRPr="0075497B">
              <w:rPr>
                <w:lang w:val="en-US"/>
              </w:rPr>
              <w:t xml:space="preserve"> </w:t>
            </w:r>
            <w:proofErr w:type="spellStart"/>
            <w:r w:rsidRPr="0075497B">
              <w:rPr>
                <w:lang w:val="en-US"/>
              </w:rPr>
              <w:t>ajustări</w:t>
            </w:r>
            <w:proofErr w:type="spellEnd"/>
            <w:r w:rsidRPr="0075497B">
              <w:rPr>
                <w:lang w:val="en-US"/>
              </w:rPr>
              <w:t xml:space="preserve"> </w:t>
            </w:r>
            <w:proofErr w:type="spellStart"/>
            <w:r w:rsidRPr="0075497B">
              <w:rPr>
                <w:lang w:val="en-US"/>
              </w:rPr>
              <w:t>pentru</w:t>
            </w:r>
            <w:proofErr w:type="spellEnd"/>
            <w:r w:rsidRPr="0075497B">
              <w:rPr>
                <w:lang w:val="en-US"/>
              </w:rPr>
              <w:t xml:space="preserve"> a </w:t>
            </w:r>
            <w:proofErr w:type="spellStart"/>
            <w:r w:rsidRPr="0075497B">
              <w:rPr>
                <w:lang w:val="en-US"/>
              </w:rPr>
              <w:t>asigura</w:t>
            </w:r>
            <w:proofErr w:type="spellEnd"/>
            <w:r w:rsidRPr="0075497B">
              <w:rPr>
                <w:lang w:val="en-US"/>
              </w:rPr>
              <w:t xml:space="preserve"> </w:t>
            </w:r>
            <w:proofErr w:type="spellStart"/>
            <w:r w:rsidRPr="0075497B">
              <w:rPr>
                <w:lang w:val="en-US"/>
              </w:rPr>
              <w:t>claritate</w:t>
            </w:r>
            <w:proofErr w:type="spellEnd"/>
            <w:r w:rsidRPr="0075497B">
              <w:rPr>
                <w:lang w:val="en-US"/>
              </w:rPr>
              <w:t xml:space="preserve"> </w:t>
            </w:r>
            <w:proofErr w:type="spellStart"/>
            <w:r w:rsidRPr="0075497B">
              <w:rPr>
                <w:lang w:val="en-US"/>
              </w:rPr>
              <w:t>și</w:t>
            </w:r>
            <w:proofErr w:type="spellEnd"/>
            <w:r w:rsidRPr="0075497B">
              <w:rPr>
                <w:lang w:val="en-US"/>
              </w:rPr>
              <w:t xml:space="preserve"> </w:t>
            </w:r>
            <w:proofErr w:type="spellStart"/>
            <w:r w:rsidRPr="0075497B">
              <w:rPr>
                <w:lang w:val="en-US"/>
              </w:rPr>
              <w:t>eficiență</w:t>
            </w:r>
            <w:proofErr w:type="spellEnd"/>
            <w:r w:rsidRPr="0075497B">
              <w:rPr>
                <w:lang w:val="en-US"/>
              </w:rPr>
              <w:t xml:space="preserve"> </w:t>
            </w:r>
            <w:proofErr w:type="spellStart"/>
            <w:r w:rsidRPr="0075497B">
              <w:rPr>
                <w:lang w:val="en-US"/>
              </w:rPr>
              <w:t>în</w:t>
            </w:r>
            <w:proofErr w:type="spellEnd"/>
            <w:r w:rsidRPr="0075497B">
              <w:rPr>
                <w:lang w:val="en-US"/>
              </w:rPr>
              <w:t xml:space="preserve"> </w:t>
            </w:r>
            <w:proofErr w:type="spellStart"/>
            <w:r w:rsidRPr="0075497B">
              <w:rPr>
                <w:lang w:val="en-US"/>
              </w:rPr>
              <w:t>aplicarea</w:t>
            </w:r>
            <w:proofErr w:type="spellEnd"/>
            <w:r w:rsidRPr="0075497B">
              <w:rPr>
                <w:lang w:val="en-US"/>
              </w:rPr>
              <w:t xml:space="preserve"> </w:t>
            </w:r>
            <w:proofErr w:type="spellStart"/>
            <w:r w:rsidRPr="0075497B">
              <w:rPr>
                <w:lang w:val="en-US"/>
              </w:rPr>
              <w:t>regulamentului</w:t>
            </w:r>
            <w:proofErr w:type="spellEnd"/>
            <w:r w:rsidRPr="0075497B">
              <w:rPr>
                <w:lang w:val="en-US"/>
              </w:rPr>
              <w:t xml:space="preserve">, </w:t>
            </w:r>
            <w:proofErr w:type="spellStart"/>
            <w:r w:rsidRPr="0075497B">
              <w:rPr>
                <w:lang w:val="en-US"/>
              </w:rPr>
              <w:t>respectând</w:t>
            </w:r>
            <w:proofErr w:type="spellEnd"/>
            <w:r w:rsidRPr="0075497B">
              <w:rPr>
                <w:lang w:val="en-US"/>
              </w:rPr>
              <w:t xml:space="preserve"> </w:t>
            </w:r>
            <w:proofErr w:type="spellStart"/>
            <w:r w:rsidRPr="0075497B">
              <w:rPr>
                <w:lang w:val="en-US"/>
              </w:rPr>
              <w:t>în</w:t>
            </w:r>
            <w:proofErr w:type="spellEnd"/>
            <w:r w:rsidRPr="0075497B">
              <w:rPr>
                <w:lang w:val="en-US"/>
              </w:rPr>
              <w:t xml:space="preserve"> </w:t>
            </w:r>
            <w:proofErr w:type="spellStart"/>
            <w:r w:rsidRPr="0075497B">
              <w:rPr>
                <w:lang w:val="en-US"/>
              </w:rPr>
              <w:t>același</w:t>
            </w:r>
            <w:proofErr w:type="spellEnd"/>
            <w:r w:rsidRPr="0075497B">
              <w:rPr>
                <w:lang w:val="en-US"/>
              </w:rPr>
              <w:t xml:space="preserve"> </w:t>
            </w:r>
            <w:proofErr w:type="spellStart"/>
            <w:r w:rsidRPr="0075497B">
              <w:rPr>
                <w:lang w:val="en-US"/>
              </w:rPr>
              <w:t>timp</w:t>
            </w:r>
            <w:proofErr w:type="spellEnd"/>
            <w:r w:rsidRPr="0075497B">
              <w:rPr>
                <w:lang w:val="en-US"/>
              </w:rPr>
              <w:t xml:space="preserve"> </w:t>
            </w:r>
            <w:proofErr w:type="spellStart"/>
            <w:r w:rsidRPr="0075497B">
              <w:rPr>
                <w:lang w:val="en-US"/>
              </w:rPr>
              <w:t>cerințele</w:t>
            </w:r>
            <w:proofErr w:type="spellEnd"/>
            <w:r w:rsidRPr="0075497B">
              <w:rPr>
                <w:lang w:val="en-US"/>
              </w:rPr>
              <w:t xml:space="preserve"> </w:t>
            </w:r>
            <w:proofErr w:type="spellStart"/>
            <w:r w:rsidRPr="0075497B">
              <w:rPr>
                <w:lang w:val="en-US"/>
              </w:rPr>
              <w:t>prevăzute</w:t>
            </w:r>
            <w:proofErr w:type="spellEnd"/>
            <w:r w:rsidRPr="0075497B">
              <w:rPr>
                <w:lang w:val="en-US"/>
              </w:rPr>
              <w:t xml:space="preserve"> de </w:t>
            </w:r>
            <w:proofErr w:type="spellStart"/>
            <w:r w:rsidRPr="0075497B">
              <w:rPr>
                <w:lang w:val="en-US"/>
              </w:rPr>
              <w:t>articolul</w:t>
            </w:r>
            <w:proofErr w:type="spellEnd"/>
            <w:r w:rsidRPr="0075497B">
              <w:rPr>
                <w:lang w:val="en-US"/>
              </w:rPr>
              <w:t xml:space="preserve"> 54 din </w:t>
            </w:r>
            <w:proofErr w:type="spellStart"/>
            <w:r w:rsidRPr="0075497B">
              <w:rPr>
                <w:lang w:val="en-US"/>
              </w:rPr>
              <w:t>Legea</w:t>
            </w:r>
            <w:proofErr w:type="spellEnd"/>
            <w:r w:rsidRPr="0075497B">
              <w:rPr>
                <w:lang w:val="en-US"/>
              </w:rPr>
              <w:t xml:space="preserve"> </w:t>
            </w:r>
            <w:proofErr w:type="spellStart"/>
            <w:r w:rsidRPr="0075497B">
              <w:rPr>
                <w:lang w:val="en-US"/>
              </w:rPr>
              <w:t>nr</w:t>
            </w:r>
            <w:proofErr w:type="spellEnd"/>
            <w:r w:rsidRPr="0075497B">
              <w:rPr>
                <w:lang w:val="en-US"/>
              </w:rPr>
              <w:t xml:space="preserve">. 100/2017 cu </w:t>
            </w:r>
            <w:proofErr w:type="spellStart"/>
            <w:r w:rsidRPr="0075497B">
              <w:rPr>
                <w:lang w:val="en-US"/>
              </w:rPr>
              <w:t>privire</w:t>
            </w:r>
            <w:proofErr w:type="spellEnd"/>
            <w:r w:rsidRPr="0075497B">
              <w:rPr>
                <w:lang w:val="en-US"/>
              </w:rPr>
              <w:t xml:space="preserve"> la </w:t>
            </w:r>
            <w:proofErr w:type="spellStart"/>
            <w:r w:rsidRPr="0075497B">
              <w:rPr>
                <w:lang w:val="en-US"/>
              </w:rPr>
              <w:t>actele</w:t>
            </w:r>
            <w:proofErr w:type="spellEnd"/>
            <w:r w:rsidRPr="0075497B">
              <w:rPr>
                <w:lang w:val="en-US"/>
              </w:rPr>
              <w:t xml:space="preserve"> normative. </w:t>
            </w:r>
            <w:proofErr w:type="spellStart"/>
            <w:r w:rsidRPr="0075497B">
              <w:rPr>
                <w:lang w:val="en-US"/>
              </w:rPr>
              <w:t>În</w:t>
            </w:r>
            <w:proofErr w:type="spellEnd"/>
            <w:r w:rsidRPr="0075497B">
              <w:rPr>
                <w:lang w:val="en-US"/>
              </w:rPr>
              <w:t xml:space="preserve"> </w:t>
            </w:r>
            <w:proofErr w:type="spellStart"/>
            <w:r w:rsidRPr="0075497B">
              <w:rPr>
                <w:lang w:val="en-US"/>
              </w:rPr>
              <w:t>ceea</w:t>
            </w:r>
            <w:proofErr w:type="spellEnd"/>
            <w:r w:rsidRPr="0075497B">
              <w:rPr>
                <w:lang w:val="en-US"/>
              </w:rPr>
              <w:t xml:space="preserve"> </w:t>
            </w:r>
            <w:proofErr w:type="spellStart"/>
            <w:r w:rsidRPr="0075497B">
              <w:rPr>
                <w:lang w:val="en-US"/>
              </w:rPr>
              <w:t>ce</w:t>
            </w:r>
            <w:proofErr w:type="spellEnd"/>
            <w:r w:rsidRPr="0075497B">
              <w:rPr>
                <w:lang w:val="en-US"/>
              </w:rPr>
              <w:t xml:space="preserve"> </w:t>
            </w:r>
            <w:proofErr w:type="spellStart"/>
            <w:r w:rsidRPr="0075497B">
              <w:rPr>
                <w:lang w:val="en-US"/>
              </w:rPr>
              <w:t>privește</w:t>
            </w:r>
            <w:proofErr w:type="spellEnd"/>
            <w:r w:rsidRPr="0075497B">
              <w:rPr>
                <w:lang w:val="en-US"/>
              </w:rPr>
              <w:t xml:space="preserve"> </w:t>
            </w:r>
            <w:proofErr w:type="spellStart"/>
            <w:r w:rsidRPr="0075497B">
              <w:rPr>
                <w:lang w:val="en-US"/>
              </w:rPr>
              <w:t>articolul</w:t>
            </w:r>
            <w:proofErr w:type="spellEnd"/>
            <w:r w:rsidRPr="0075497B">
              <w:rPr>
                <w:lang w:val="en-US"/>
              </w:rPr>
              <w:t xml:space="preserve"> 11, </w:t>
            </w:r>
            <w:proofErr w:type="spellStart"/>
            <w:r w:rsidRPr="0075497B">
              <w:rPr>
                <w:lang w:val="en-US"/>
              </w:rPr>
              <w:t>expresiile</w:t>
            </w:r>
            <w:proofErr w:type="spellEnd"/>
            <w:r w:rsidRPr="0075497B">
              <w:rPr>
                <w:lang w:val="en-US"/>
              </w:rPr>
              <w:t xml:space="preserve"> „ANRE </w:t>
            </w:r>
            <w:proofErr w:type="spellStart"/>
            <w:r w:rsidRPr="0075497B">
              <w:rPr>
                <w:lang w:val="en-US"/>
              </w:rPr>
              <w:t>poate</w:t>
            </w:r>
            <w:proofErr w:type="spellEnd"/>
            <w:r w:rsidRPr="0075497B">
              <w:rPr>
                <w:lang w:val="en-US"/>
              </w:rPr>
              <w:t xml:space="preserve"> </w:t>
            </w:r>
            <w:proofErr w:type="spellStart"/>
            <w:r w:rsidRPr="0075497B">
              <w:rPr>
                <w:lang w:val="en-US"/>
              </w:rPr>
              <w:t>efectua</w:t>
            </w:r>
            <w:proofErr w:type="spellEnd"/>
            <w:r w:rsidRPr="0075497B">
              <w:rPr>
                <w:lang w:val="en-US"/>
              </w:rPr>
              <w:t xml:space="preserve"> audit” </w:t>
            </w:r>
            <w:proofErr w:type="spellStart"/>
            <w:r w:rsidRPr="0075497B">
              <w:rPr>
                <w:lang w:val="en-US"/>
              </w:rPr>
              <w:t>și</w:t>
            </w:r>
            <w:proofErr w:type="spellEnd"/>
            <w:r w:rsidRPr="0075497B">
              <w:rPr>
                <w:lang w:val="en-US"/>
              </w:rPr>
              <w:t xml:space="preserve"> „</w:t>
            </w:r>
            <w:proofErr w:type="spellStart"/>
            <w:r w:rsidRPr="0075497B">
              <w:rPr>
                <w:lang w:val="en-US"/>
              </w:rPr>
              <w:t>poate</w:t>
            </w:r>
            <w:proofErr w:type="spellEnd"/>
            <w:r w:rsidRPr="0075497B">
              <w:rPr>
                <w:lang w:val="en-US"/>
              </w:rPr>
              <w:t xml:space="preserve"> </w:t>
            </w:r>
            <w:proofErr w:type="spellStart"/>
            <w:r w:rsidRPr="0075497B">
              <w:rPr>
                <w:lang w:val="en-US"/>
              </w:rPr>
              <w:t>respinge</w:t>
            </w:r>
            <w:proofErr w:type="spellEnd"/>
            <w:r w:rsidRPr="0075497B">
              <w:rPr>
                <w:lang w:val="en-US"/>
              </w:rPr>
              <w:t xml:space="preserve"> </w:t>
            </w:r>
            <w:proofErr w:type="spellStart"/>
            <w:r w:rsidRPr="0075497B">
              <w:rPr>
                <w:lang w:val="en-US"/>
              </w:rPr>
              <w:t>costuri</w:t>
            </w:r>
            <w:proofErr w:type="spellEnd"/>
            <w:r w:rsidRPr="0075497B">
              <w:rPr>
                <w:lang w:val="en-US"/>
              </w:rPr>
              <w:t xml:space="preserve"> </w:t>
            </w:r>
            <w:proofErr w:type="spellStart"/>
            <w:r w:rsidRPr="0075497B">
              <w:rPr>
                <w:lang w:val="en-US"/>
              </w:rPr>
              <w:t>și</w:t>
            </w:r>
            <w:proofErr w:type="spellEnd"/>
            <w:r w:rsidRPr="0075497B">
              <w:rPr>
                <w:lang w:val="en-US"/>
              </w:rPr>
              <w:t xml:space="preserve"> </w:t>
            </w:r>
            <w:proofErr w:type="spellStart"/>
            <w:r w:rsidRPr="0075497B">
              <w:rPr>
                <w:lang w:val="en-US"/>
              </w:rPr>
              <w:t>venituri</w:t>
            </w:r>
            <w:proofErr w:type="spellEnd"/>
            <w:r w:rsidRPr="0075497B">
              <w:rPr>
                <w:lang w:val="en-US"/>
              </w:rPr>
              <w:t xml:space="preserve"> </w:t>
            </w:r>
            <w:proofErr w:type="spellStart"/>
            <w:r w:rsidRPr="0075497B">
              <w:rPr>
                <w:lang w:val="en-US"/>
              </w:rPr>
              <w:t>dacă</w:t>
            </w:r>
            <w:proofErr w:type="spellEnd"/>
            <w:r w:rsidRPr="0075497B">
              <w:rPr>
                <w:lang w:val="en-US"/>
              </w:rPr>
              <w:t xml:space="preserve"> </w:t>
            </w:r>
            <w:proofErr w:type="spellStart"/>
            <w:r w:rsidRPr="0075497B">
              <w:rPr>
                <w:lang w:val="en-US"/>
              </w:rPr>
              <w:t>consideră</w:t>
            </w:r>
            <w:proofErr w:type="spellEnd"/>
            <w:r w:rsidRPr="0075497B">
              <w:rPr>
                <w:lang w:val="en-US"/>
              </w:rPr>
              <w:t xml:space="preserve"> </w:t>
            </w:r>
            <w:proofErr w:type="spellStart"/>
            <w:r w:rsidRPr="0075497B">
              <w:rPr>
                <w:lang w:val="en-US"/>
              </w:rPr>
              <w:t>că</w:t>
            </w:r>
            <w:proofErr w:type="spellEnd"/>
            <w:r w:rsidRPr="0075497B">
              <w:rPr>
                <w:lang w:val="en-US"/>
              </w:rPr>
              <w:t xml:space="preserve"> </w:t>
            </w:r>
            <w:proofErr w:type="spellStart"/>
            <w:r w:rsidRPr="0075497B">
              <w:rPr>
                <w:lang w:val="en-US"/>
              </w:rPr>
              <w:t>acestea</w:t>
            </w:r>
            <w:proofErr w:type="spellEnd"/>
            <w:r w:rsidRPr="0075497B">
              <w:rPr>
                <w:lang w:val="en-US"/>
              </w:rPr>
              <w:t xml:space="preserve"> au </w:t>
            </w:r>
            <w:proofErr w:type="spellStart"/>
            <w:r w:rsidRPr="0075497B">
              <w:rPr>
                <w:lang w:val="en-US"/>
              </w:rPr>
              <w:t>fost</w:t>
            </w:r>
            <w:proofErr w:type="spellEnd"/>
            <w:r w:rsidRPr="0075497B">
              <w:rPr>
                <w:lang w:val="en-US"/>
              </w:rPr>
              <w:t xml:space="preserve"> </w:t>
            </w:r>
            <w:proofErr w:type="spellStart"/>
            <w:r w:rsidRPr="0075497B">
              <w:rPr>
                <w:lang w:val="en-US"/>
              </w:rPr>
              <w:t>suportate</w:t>
            </w:r>
            <w:proofErr w:type="spellEnd"/>
            <w:r w:rsidRPr="0075497B">
              <w:rPr>
                <w:lang w:val="en-US"/>
              </w:rPr>
              <w:t xml:space="preserve"> </w:t>
            </w:r>
            <w:proofErr w:type="spellStart"/>
            <w:r w:rsidRPr="0075497B">
              <w:rPr>
                <w:lang w:val="en-US"/>
              </w:rPr>
              <w:t>în</w:t>
            </w:r>
            <w:proofErr w:type="spellEnd"/>
            <w:r w:rsidRPr="0075497B">
              <w:rPr>
                <w:lang w:val="en-US"/>
              </w:rPr>
              <w:t xml:space="preserve"> mod </w:t>
            </w:r>
            <w:proofErr w:type="spellStart"/>
            <w:r w:rsidRPr="0075497B">
              <w:rPr>
                <w:lang w:val="en-US"/>
              </w:rPr>
              <w:t>ineficient</w:t>
            </w:r>
            <w:proofErr w:type="spellEnd"/>
            <w:r w:rsidRPr="0075497B">
              <w:rPr>
                <w:lang w:val="en-US"/>
              </w:rPr>
              <w:t xml:space="preserve">” pot introduce </w:t>
            </w:r>
            <w:proofErr w:type="spellStart"/>
            <w:r w:rsidRPr="0075497B">
              <w:rPr>
                <w:lang w:val="en-US"/>
              </w:rPr>
              <w:t>ambiguitate</w:t>
            </w:r>
            <w:proofErr w:type="spellEnd"/>
            <w:r w:rsidRPr="0075497B">
              <w:rPr>
                <w:lang w:val="en-US"/>
              </w:rPr>
              <w:t xml:space="preserve"> </w:t>
            </w:r>
            <w:proofErr w:type="spellStart"/>
            <w:r w:rsidRPr="0075497B">
              <w:rPr>
                <w:lang w:val="en-US"/>
              </w:rPr>
              <w:t>și</w:t>
            </w:r>
            <w:proofErr w:type="spellEnd"/>
            <w:r w:rsidRPr="0075497B">
              <w:rPr>
                <w:lang w:val="en-US"/>
              </w:rPr>
              <w:t xml:space="preserve"> </w:t>
            </w:r>
            <w:proofErr w:type="spellStart"/>
            <w:r w:rsidRPr="0075497B">
              <w:rPr>
                <w:lang w:val="en-US"/>
              </w:rPr>
              <w:t>incertitudine</w:t>
            </w:r>
            <w:proofErr w:type="spellEnd"/>
            <w:r w:rsidRPr="0075497B">
              <w:rPr>
                <w:lang w:val="en-US"/>
              </w:rPr>
              <w:t xml:space="preserve">. </w:t>
            </w:r>
            <w:proofErr w:type="spellStart"/>
            <w:r w:rsidRPr="0075497B">
              <w:rPr>
                <w:lang w:val="en-US"/>
              </w:rPr>
              <w:t>Recomandăm</w:t>
            </w:r>
            <w:proofErr w:type="spellEnd"/>
            <w:r w:rsidRPr="0075497B">
              <w:rPr>
                <w:lang w:val="en-US"/>
              </w:rPr>
              <w:t xml:space="preserve"> </w:t>
            </w:r>
            <w:proofErr w:type="spellStart"/>
            <w:r w:rsidRPr="0075497B">
              <w:rPr>
                <w:lang w:val="en-US"/>
              </w:rPr>
              <w:t>modificarea</w:t>
            </w:r>
            <w:proofErr w:type="spellEnd"/>
            <w:r w:rsidRPr="0075497B">
              <w:rPr>
                <w:lang w:val="en-US"/>
              </w:rPr>
              <w:t xml:space="preserve"> </w:t>
            </w:r>
            <w:proofErr w:type="spellStart"/>
            <w:r w:rsidRPr="0075497B">
              <w:rPr>
                <w:lang w:val="en-US"/>
              </w:rPr>
              <w:t>textului</w:t>
            </w:r>
            <w:proofErr w:type="spellEnd"/>
            <w:r w:rsidRPr="0075497B">
              <w:rPr>
                <w:lang w:val="en-US"/>
              </w:rPr>
              <w:t xml:space="preserve"> </w:t>
            </w:r>
            <w:proofErr w:type="spellStart"/>
            <w:r w:rsidRPr="0075497B">
              <w:rPr>
                <w:lang w:val="en-US"/>
              </w:rPr>
              <w:t>pentru</w:t>
            </w:r>
            <w:proofErr w:type="spellEnd"/>
            <w:r w:rsidRPr="0075497B">
              <w:rPr>
                <w:lang w:val="en-US"/>
              </w:rPr>
              <w:t xml:space="preserve"> a </w:t>
            </w:r>
            <w:proofErr w:type="spellStart"/>
            <w:r w:rsidRPr="0075497B">
              <w:rPr>
                <w:lang w:val="en-US"/>
              </w:rPr>
              <w:t>specifica</w:t>
            </w:r>
            <w:proofErr w:type="spellEnd"/>
            <w:r w:rsidRPr="0075497B">
              <w:rPr>
                <w:lang w:val="en-US"/>
              </w:rPr>
              <w:t xml:space="preserve"> </w:t>
            </w:r>
            <w:proofErr w:type="spellStart"/>
            <w:r w:rsidRPr="0075497B">
              <w:rPr>
                <w:lang w:val="en-US"/>
              </w:rPr>
              <w:t>condițiile</w:t>
            </w:r>
            <w:proofErr w:type="spellEnd"/>
            <w:r w:rsidRPr="0075497B">
              <w:rPr>
                <w:lang w:val="en-US"/>
              </w:rPr>
              <w:t xml:space="preserve"> precise </w:t>
            </w:r>
            <w:proofErr w:type="spellStart"/>
            <w:r w:rsidRPr="0075497B">
              <w:rPr>
                <w:lang w:val="en-US"/>
              </w:rPr>
              <w:t>în</w:t>
            </w:r>
            <w:proofErr w:type="spellEnd"/>
            <w:r w:rsidRPr="0075497B">
              <w:rPr>
                <w:lang w:val="en-US"/>
              </w:rPr>
              <w:t xml:space="preserve"> care ANRE </w:t>
            </w:r>
            <w:proofErr w:type="spellStart"/>
            <w:r w:rsidRPr="0075497B">
              <w:rPr>
                <w:lang w:val="en-US"/>
              </w:rPr>
              <w:t>este</w:t>
            </w:r>
            <w:proofErr w:type="spellEnd"/>
            <w:r w:rsidRPr="0075497B">
              <w:rPr>
                <w:lang w:val="en-US"/>
              </w:rPr>
              <w:t xml:space="preserve"> </w:t>
            </w:r>
            <w:proofErr w:type="spellStart"/>
            <w:r w:rsidRPr="0075497B">
              <w:rPr>
                <w:lang w:val="en-US"/>
              </w:rPr>
              <w:t>obligată</w:t>
            </w:r>
            <w:proofErr w:type="spellEnd"/>
            <w:r w:rsidRPr="0075497B">
              <w:rPr>
                <w:lang w:val="en-US"/>
              </w:rPr>
              <w:t xml:space="preserve"> </w:t>
            </w:r>
            <w:proofErr w:type="spellStart"/>
            <w:r w:rsidRPr="0075497B">
              <w:rPr>
                <w:lang w:val="en-US"/>
              </w:rPr>
              <w:t>să</w:t>
            </w:r>
            <w:proofErr w:type="spellEnd"/>
            <w:r w:rsidRPr="0075497B">
              <w:rPr>
                <w:lang w:val="en-US"/>
              </w:rPr>
              <w:t xml:space="preserve"> </w:t>
            </w:r>
            <w:proofErr w:type="spellStart"/>
            <w:r w:rsidRPr="0075497B">
              <w:rPr>
                <w:lang w:val="en-US"/>
              </w:rPr>
              <w:t>efectueze</w:t>
            </w:r>
            <w:proofErr w:type="spellEnd"/>
            <w:r w:rsidRPr="0075497B">
              <w:rPr>
                <w:lang w:val="en-US"/>
              </w:rPr>
              <w:t xml:space="preserve"> </w:t>
            </w:r>
            <w:proofErr w:type="spellStart"/>
            <w:r w:rsidRPr="0075497B">
              <w:rPr>
                <w:lang w:val="en-US"/>
              </w:rPr>
              <w:t>audituri</w:t>
            </w:r>
            <w:proofErr w:type="spellEnd"/>
            <w:r w:rsidRPr="0075497B">
              <w:rPr>
                <w:lang w:val="en-US"/>
              </w:rPr>
              <w:t xml:space="preserve"> </w:t>
            </w:r>
            <w:proofErr w:type="spellStart"/>
            <w:r w:rsidRPr="0075497B">
              <w:rPr>
                <w:lang w:val="en-US"/>
              </w:rPr>
              <w:t>și</w:t>
            </w:r>
            <w:proofErr w:type="spellEnd"/>
            <w:r w:rsidRPr="0075497B">
              <w:rPr>
                <w:lang w:val="en-US"/>
              </w:rPr>
              <w:t xml:space="preserve"> </w:t>
            </w:r>
            <w:proofErr w:type="spellStart"/>
            <w:r w:rsidRPr="0075497B">
              <w:rPr>
                <w:lang w:val="en-US"/>
              </w:rPr>
              <w:t>să</w:t>
            </w:r>
            <w:proofErr w:type="spellEnd"/>
            <w:r w:rsidRPr="0075497B">
              <w:rPr>
                <w:lang w:val="en-US"/>
              </w:rPr>
              <w:t xml:space="preserve"> </w:t>
            </w:r>
            <w:proofErr w:type="spellStart"/>
            <w:r w:rsidRPr="0075497B">
              <w:rPr>
                <w:lang w:val="en-US"/>
              </w:rPr>
              <w:t>respingă</w:t>
            </w:r>
            <w:proofErr w:type="spellEnd"/>
            <w:r w:rsidRPr="0075497B">
              <w:rPr>
                <w:lang w:val="en-US"/>
              </w:rPr>
              <w:t xml:space="preserve"> </w:t>
            </w:r>
            <w:proofErr w:type="spellStart"/>
            <w:r w:rsidRPr="0075497B">
              <w:rPr>
                <w:lang w:val="en-US"/>
              </w:rPr>
              <w:t>costurile</w:t>
            </w:r>
            <w:proofErr w:type="spellEnd"/>
            <w:r w:rsidRPr="0075497B">
              <w:rPr>
                <w:lang w:val="en-US"/>
              </w:rPr>
              <w:t xml:space="preserve"> </w:t>
            </w:r>
            <w:proofErr w:type="spellStart"/>
            <w:r w:rsidRPr="0075497B">
              <w:rPr>
                <w:lang w:val="en-US"/>
              </w:rPr>
              <w:t>și</w:t>
            </w:r>
            <w:proofErr w:type="spellEnd"/>
            <w:r w:rsidRPr="0075497B">
              <w:rPr>
                <w:lang w:val="en-US"/>
              </w:rPr>
              <w:t xml:space="preserve"> </w:t>
            </w:r>
            <w:proofErr w:type="spellStart"/>
            <w:r w:rsidRPr="0075497B">
              <w:rPr>
                <w:lang w:val="en-US"/>
              </w:rPr>
              <w:t>veniturile</w:t>
            </w:r>
            <w:proofErr w:type="spellEnd"/>
            <w:r w:rsidRPr="0075497B">
              <w:rPr>
                <w:lang w:val="en-US"/>
              </w:rPr>
              <w:t xml:space="preserve">, conform </w:t>
            </w:r>
            <w:proofErr w:type="spellStart"/>
            <w:r w:rsidRPr="0075497B">
              <w:rPr>
                <w:lang w:val="en-US"/>
              </w:rPr>
              <w:t>principiilor</w:t>
            </w:r>
            <w:proofErr w:type="spellEnd"/>
            <w:r w:rsidRPr="0075497B">
              <w:rPr>
                <w:lang w:val="en-US"/>
              </w:rPr>
              <w:t xml:space="preserve"> de </w:t>
            </w:r>
            <w:proofErr w:type="spellStart"/>
            <w:r w:rsidRPr="0075497B">
              <w:rPr>
                <w:lang w:val="en-US"/>
              </w:rPr>
              <w:t>claritate</w:t>
            </w:r>
            <w:proofErr w:type="spellEnd"/>
            <w:r w:rsidRPr="0075497B">
              <w:rPr>
                <w:lang w:val="en-US"/>
              </w:rPr>
              <w:t xml:space="preserve"> </w:t>
            </w:r>
            <w:proofErr w:type="spellStart"/>
            <w:r w:rsidRPr="0075497B">
              <w:rPr>
                <w:lang w:val="en-US"/>
              </w:rPr>
              <w:t>și</w:t>
            </w:r>
            <w:proofErr w:type="spellEnd"/>
            <w:r w:rsidRPr="0075497B">
              <w:rPr>
                <w:lang w:val="en-US"/>
              </w:rPr>
              <w:t xml:space="preserve"> </w:t>
            </w:r>
            <w:proofErr w:type="spellStart"/>
            <w:r w:rsidRPr="0075497B">
              <w:rPr>
                <w:lang w:val="en-US"/>
              </w:rPr>
              <w:t>precizie</w:t>
            </w:r>
            <w:proofErr w:type="spellEnd"/>
            <w:r w:rsidRPr="0075497B">
              <w:rPr>
                <w:lang w:val="en-US"/>
              </w:rPr>
              <w:t>.</w:t>
            </w:r>
          </w:p>
          <w:p w14:paraId="19A59205" w14:textId="5C72B388" w:rsidR="0075497B" w:rsidRPr="000B038D" w:rsidRDefault="0075497B" w:rsidP="0075497B">
            <w:pPr>
              <w:jc w:val="both"/>
              <w:rPr>
                <w:sz w:val="22"/>
                <w:szCs w:val="22"/>
                <w:lang w:val="ro-RO"/>
              </w:rPr>
            </w:pPr>
            <w:proofErr w:type="spellStart"/>
            <w:r w:rsidRPr="0075497B">
              <w:rPr>
                <w:lang w:val="en-US"/>
              </w:rPr>
              <w:t>În</w:t>
            </w:r>
            <w:proofErr w:type="spellEnd"/>
            <w:r w:rsidRPr="0075497B">
              <w:rPr>
                <w:lang w:val="en-US"/>
              </w:rPr>
              <w:t xml:space="preserve"> </w:t>
            </w:r>
            <w:proofErr w:type="spellStart"/>
            <w:r w:rsidRPr="0075497B">
              <w:rPr>
                <w:lang w:val="en-US"/>
              </w:rPr>
              <w:t>ceea</w:t>
            </w:r>
            <w:proofErr w:type="spellEnd"/>
            <w:r w:rsidRPr="0075497B">
              <w:rPr>
                <w:lang w:val="en-US"/>
              </w:rPr>
              <w:t xml:space="preserve"> </w:t>
            </w:r>
            <w:proofErr w:type="spellStart"/>
            <w:r w:rsidRPr="0075497B">
              <w:rPr>
                <w:lang w:val="en-US"/>
              </w:rPr>
              <w:t>ce</w:t>
            </w:r>
            <w:proofErr w:type="spellEnd"/>
            <w:r w:rsidRPr="0075497B">
              <w:rPr>
                <w:lang w:val="en-US"/>
              </w:rPr>
              <w:t xml:space="preserve"> </w:t>
            </w:r>
            <w:proofErr w:type="spellStart"/>
            <w:r w:rsidRPr="0075497B">
              <w:rPr>
                <w:lang w:val="en-US"/>
              </w:rPr>
              <w:t>privește</w:t>
            </w:r>
            <w:proofErr w:type="spellEnd"/>
            <w:r w:rsidRPr="0075497B">
              <w:rPr>
                <w:lang w:val="en-US"/>
              </w:rPr>
              <w:t xml:space="preserve"> </w:t>
            </w:r>
            <w:proofErr w:type="spellStart"/>
            <w:r w:rsidRPr="0075497B">
              <w:rPr>
                <w:lang w:val="en-US"/>
              </w:rPr>
              <w:t>articolul</w:t>
            </w:r>
            <w:proofErr w:type="spellEnd"/>
            <w:r w:rsidRPr="0075497B">
              <w:rPr>
                <w:lang w:val="en-US"/>
              </w:rPr>
              <w:t xml:space="preserve"> 7 </w:t>
            </w:r>
            <w:proofErr w:type="spellStart"/>
            <w:r w:rsidRPr="0075497B">
              <w:rPr>
                <w:lang w:val="en-US"/>
              </w:rPr>
              <w:t>alineatul</w:t>
            </w:r>
            <w:proofErr w:type="spellEnd"/>
            <w:r w:rsidRPr="0075497B">
              <w:rPr>
                <w:lang w:val="en-US"/>
              </w:rPr>
              <w:t xml:space="preserve"> 4, </w:t>
            </w:r>
            <w:proofErr w:type="spellStart"/>
            <w:r w:rsidRPr="0075497B">
              <w:rPr>
                <w:lang w:val="en-US"/>
              </w:rPr>
              <w:t>expresia</w:t>
            </w:r>
            <w:proofErr w:type="spellEnd"/>
            <w:r w:rsidRPr="0075497B">
              <w:rPr>
                <w:lang w:val="en-US"/>
              </w:rPr>
              <w:t xml:space="preserve"> „</w:t>
            </w:r>
            <w:proofErr w:type="spellStart"/>
            <w:r w:rsidRPr="0075497B">
              <w:rPr>
                <w:lang w:val="en-US"/>
              </w:rPr>
              <w:t>Alte</w:t>
            </w:r>
            <w:proofErr w:type="spellEnd"/>
            <w:r w:rsidRPr="0075497B">
              <w:rPr>
                <w:lang w:val="en-US"/>
              </w:rPr>
              <w:t xml:space="preserve"> </w:t>
            </w:r>
            <w:proofErr w:type="spellStart"/>
            <w:r w:rsidRPr="0075497B">
              <w:rPr>
                <w:lang w:val="en-US"/>
              </w:rPr>
              <w:t>costuri</w:t>
            </w:r>
            <w:proofErr w:type="spellEnd"/>
            <w:r w:rsidRPr="0075497B">
              <w:rPr>
                <w:lang w:val="en-US"/>
              </w:rPr>
              <w:t xml:space="preserve"> legate de </w:t>
            </w:r>
            <w:proofErr w:type="spellStart"/>
            <w:r w:rsidRPr="0075497B">
              <w:rPr>
                <w:lang w:val="en-US"/>
              </w:rPr>
              <w:t>activitatea</w:t>
            </w:r>
            <w:proofErr w:type="spellEnd"/>
            <w:r w:rsidRPr="0075497B">
              <w:rPr>
                <w:lang w:val="en-US"/>
              </w:rPr>
              <w:t xml:space="preserve"> de echilibrare, </w:t>
            </w:r>
            <w:proofErr w:type="spellStart"/>
            <w:r w:rsidRPr="0075497B">
              <w:rPr>
                <w:lang w:val="en-US"/>
              </w:rPr>
              <w:t>dacă</w:t>
            </w:r>
            <w:proofErr w:type="spellEnd"/>
            <w:r w:rsidRPr="0075497B">
              <w:rPr>
                <w:lang w:val="en-US"/>
              </w:rPr>
              <w:t xml:space="preserve"> </w:t>
            </w:r>
            <w:proofErr w:type="spellStart"/>
            <w:r w:rsidRPr="0075497B">
              <w:rPr>
                <w:lang w:val="en-US"/>
              </w:rPr>
              <w:t>este</w:t>
            </w:r>
            <w:proofErr w:type="spellEnd"/>
            <w:r w:rsidRPr="0075497B">
              <w:rPr>
                <w:lang w:val="en-US"/>
              </w:rPr>
              <w:t xml:space="preserve"> </w:t>
            </w:r>
            <w:proofErr w:type="spellStart"/>
            <w:r w:rsidRPr="0075497B">
              <w:rPr>
                <w:lang w:val="en-US"/>
              </w:rPr>
              <w:t>cazul</w:t>
            </w:r>
            <w:proofErr w:type="spellEnd"/>
            <w:r w:rsidRPr="0075497B">
              <w:rPr>
                <w:lang w:val="en-US"/>
              </w:rPr>
              <w:t xml:space="preserve">” </w:t>
            </w:r>
            <w:proofErr w:type="spellStart"/>
            <w:r w:rsidRPr="0075497B">
              <w:rPr>
                <w:lang w:val="en-US"/>
              </w:rPr>
              <w:t>ar</w:t>
            </w:r>
            <w:proofErr w:type="spellEnd"/>
            <w:r w:rsidRPr="0075497B">
              <w:rPr>
                <w:lang w:val="en-US"/>
              </w:rPr>
              <w:t xml:space="preserve"> </w:t>
            </w:r>
            <w:proofErr w:type="spellStart"/>
            <w:r w:rsidRPr="0075497B">
              <w:rPr>
                <w:lang w:val="en-US"/>
              </w:rPr>
              <w:t>putea</w:t>
            </w:r>
            <w:proofErr w:type="spellEnd"/>
            <w:r w:rsidRPr="0075497B">
              <w:rPr>
                <w:lang w:val="en-US"/>
              </w:rPr>
              <w:t xml:space="preserve"> fi </w:t>
            </w:r>
            <w:proofErr w:type="spellStart"/>
            <w:r w:rsidRPr="0075497B">
              <w:rPr>
                <w:lang w:val="en-US"/>
              </w:rPr>
              <w:t>interpretată</w:t>
            </w:r>
            <w:proofErr w:type="spellEnd"/>
            <w:r w:rsidRPr="0075497B">
              <w:rPr>
                <w:lang w:val="en-US"/>
              </w:rPr>
              <w:t xml:space="preserve"> </w:t>
            </w:r>
            <w:proofErr w:type="spellStart"/>
            <w:r w:rsidRPr="0075497B">
              <w:rPr>
                <w:lang w:val="en-US"/>
              </w:rPr>
              <w:t>diferit</w:t>
            </w:r>
            <w:proofErr w:type="spellEnd"/>
            <w:r w:rsidRPr="0075497B">
              <w:rPr>
                <w:lang w:val="en-US"/>
              </w:rPr>
              <w:t xml:space="preserve"> </w:t>
            </w:r>
            <w:proofErr w:type="spellStart"/>
            <w:r w:rsidRPr="0075497B">
              <w:rPr>
                <w:lang w:val="en-US"/>
              </w:rPr>
              <w:t>în</w:t>
            </w:r>
            <w:proofErr w:type="spellEnd"/>
            <w:r w:rsidRPr="0075497B">
              <w:rPr>
                <w:lang w:val="en-US"/>
              </w:rPr>
              <w:t xml:space="preserve"> </w:t>
            </w:r>
            <w:proofErr w:type="spellStart"/>
            <w:r w:rsidRPr="0075497B">
              <w:rPr>
                <w:lang w:val="en-US"/>
              </w:rPr>
              <w:t>funcție</w:t>
            </w:r>
            <w:proofErr w:type="spellEnd"/>
            <w:r w:rsidRPr="0075497B">
              <w:rPr>
                <w:lang w:val="en-US"/>
              </w:rPr>
              <w:t xml:space="preserve"> de </w:t>
            </w:r>
            <w:proofErr w:type="spellStart"/>
            <w:r w:rsidRPr="0075497B">
              <w:rPr>
                <w:lang w:val="en-US"/>
              </w:rPr>
              <w:t>circumstanțe</w:t>
            </w:r>
            <w:proofErr w:type="spellEnd"/>
            <w:r w:rsidRPr="0075497B">
              <w:rPr>
                <w:lang w:val="en-US"/>
              </w:rPr>
              <w:t xml:space="preserve">. </w:t>
            </w:r>
            <w:proofErr w:type="spellStart"/>
            <w:r w:rsidRPr="0075497B">
              <w:rPr>
                <w:lang w:val="en-US"/>
              </w:rPr>
              <w:t>Propunem</w:t>
            </w:r>
            <w:proofErr w:type="spellEnd"/>
            <w:r w:rsidRPr="0075497B">
              <w:rPr>
                <w:lang w:val="en-US"/>
              </w:rPr>
              <w:t xml:space="preserve"> </w:t>
            </w:r>
            <w:proofErr w:type="spellStart"/>
            <w:r w:rsidRPr="0075497B">
              <w:rPr>
                <w:lang w:val="en-US"/>
              </w:rPr>
              <w:t>modificarea</w:t>
            </w:r>
            <w:proofErr w:type="spellEnd"/>
            <w:r w:rsidRPr="0075497B">
              <w:rPr>
                <w:lang w:val="en-US"/>
              </w:rPr>
              <w:t xml:space="preserve"> </w:t>
            </w:r>
            <w:proofErr w:type="spellStart"/>
            <w:r w:rsidRPr="0075497B">
              <w:rPr>
                <w:lang w:val="en-US"/>
              </w:rPr>
              <w:t>acestui</w:t>
            </w:r>
            <w:proofErr w:type="spellEnd"/>
            <w:r w:rsidRPr="0075497B">
              <w:rPr>
                <w:lang w:val="en-US"/>
              </w:rPr>
              <w:t xml:space="preserve"> </w:t>
            </w:r>
            <w:proofErr w:type="spellStart"/>
            <w:r w:rsidRPr="0075497B">
              <w:rPr>
                <w:lang w:val="en-US"/>
              </w:rPr>
              <w:t>alineat</w:t>
            </w:r>
            <w:proofErr w:type="spellEnd"/>
            <w:r w:rsidRPr="0075497B">
              <w:rPr>
                <w:lang w:val="en-US"/>
              </w:rPr>
              <w:t xml:space="preserve"> </w:t>
            </w:r>
            <w:proofErr w:type="spellStart"/>
            <w:r w:rsidRPr="0075497B">
              <w:rPr>
                <w:lang w:val="en-US"/>
              </w:rPr>
              <w:t>pentru</w:t>
            </w:r>
            <w:proofErr w:type="spellEnd"/>
            <w:r w:rsidRPr="0075497B">
              <w:rPr>
                <w:lang w:val="en-US"/>
              </w:rPr>
              <w:t xml:space="preserve"> a </w:t>
            </w:r>
            <w:proofErr w:type="spellStart"/>
            <w:r w:rsidRPr="0075497B">
              <w:rPr>
                <w:lang w:val="en-US"/>
              </w:rPr>
              <w:t>detalia</w:t>
            </w:r>
            <w:proofErr w:type="spellEnd"/>
            <w:r w:rsidRPr="0075497B">
              <w:rPr>
                <w:lang w:val="en-US"/>
              </w:rPr>
              <w:t xml:space="preserve"> </w:t>
            </w:r>
            <w:proofErr w:type="spellStart"/>
            <w:r w:rsidRPr="0075497B">
              <w:rPr>
                <w:lang w:val="en-US"/>
              </w:rPr>
              <w:t>condițiile</w:t>
            </w:r>
            <w:proofErr w:type="spellEnd"/>
            <w:r w:rsidRPr="0075497B">
              <w:rPr>
                <w:lang w:val="en-US"/>
              </w:rPr>
              <w:t xml:space="preserve"> </w:t>
            </w:r>
            <w:proofErr w:type="spellStart"/>
            <w:r w:rsidRPr="0075497B">
              <w:rPr>
                <w:lang w:val="en-US"/>
              </w:rPr>
              <w:t>exacte</w:t>
            </w:r>
            <w:proofErr w:type="spellEnd"/>
            <w:r w:rsidRPr="0075497B">
              <w:rPr>
                <w:lang w:val="en-US"/>
              </w:rPr>
              <w:t xml:space="preserve"> </w:t>
            </w:r>
            <w:proofErr w:type="spellStart"/>
            <w:r w:rsidRPr="0075497B">
              <w:rPr>
                <w:lang w:val="en-US"/>
              </w:rPr>
              <w:t>în</w:t>
            </w:r>
            <w:proofErr w:type="spellEnd"/>
            <w:r w:rsidRPr="0075497B">
              <w:rPr>
                <w:lang w:val="en-US"/>
              </w:rPr>
              <w:t xml:space="preserve"> care ANRE </w:t>
            </w:r>
            <w:proofErr w:type="spellStart"/>
            <w:r w:rsidRPr="0075497B">
              <w:rPr>
                <w:lang w:val="en-US"/>
              </w:rPr>
              <w:t>va</w:t>
            </w:r>
            <w:proofErr w:type="spellEnd"/>
            <w:r w:rsidRPr="0075497B">
              <w:rPr>
                <w:lang w:val="en-US"/>
              </w:rPr>
              <w:t xml:space="preserve"> </w:t>
            </w:r>
            <w:proofErr w:type="spellStart"/>
            <w:r w:rsidRPr="0075497B">
              <w:rPr>
                <w:lang w:val="en-US"/>
              </w:rPr>
              <w:t>accepta</w:t>
            </w:r>
            <w:proofErr w:type="spellEnd"/>
            <w:r w:rsidRPr="0075497B">
              <w:rPr>
                <w:lang w:val="en-US"/>
              </w:rPr>
              <w:t xml:space="preserve"> </w:t>
            </w:r>
            <w:proofErr w:type="spellStart"/>
            <w:r w:rsidRPr="0075497B">
              <w:rPr>
                <w:lang w:val="en-US"/>
              </w:rPr>
              <w:t>aceste</w:t>
            </w:r>
            <w:proofErr w:type="spellEnd"/>
            <w:r w:rsidRPr="0075497B">
              <w:rPr>
                <w:lang w:val="en-US"/>
              </w:rPr>
              <w:t xml:space="preserve"> </w:t>
            </w:r>
            <w:proofErr w:type="spellStart"/>
            <w:r w:rsidRPr="0075497B">
              <w:rPr>
                <w:lang w:val="en-US"/>
              </w:rPr>
              <w:t>costuri</w:t>
            </w:r>
            <w:proofErr w:type="spellEnd"/>
            <w:r w:rsidRPr="0075497B">
              <w:rPr>
                <w:lang w:val="en-US"/>
              </w:rPr>
              <w:t xml:space="preserve">, </w:t>
            </w:r>
            <w:proofErr w:type="spellStart"/>
            <w:r w:rsidRPr="0075497B">
              <w:rPr>
                <w:lang w:val="en-US"/>
              </w:rPr>
              <w:t>în</w:t>
            </w:r>
            <w:proofErr w:type="spellEnd"/>
            <w:r w:rsidRPr="0075497B">
              <w:rPr>
                <w:lang w:val="en-US"/>
              </w:rPr>
              <w:t xml:space="preserve"> </w:t>
            </w:r>
            <w:proofErr w:type="spellStart"/>
            <w:r w:rsidRPr="0075497B">
              <w:rPr>
                <w:lang w:val="en-US"/>
              </w:rPr>
              <w:t>conformitate</w:t>
            </w:r>
            <w:proofErr w:type="spellEnd"/>
            <w:r w:rsidRPr="0075497B">
              <w:rPr>
                <w:lang w:val="en-US"/>
              </w:rPr>
              <w:t xml:space="preserve"> cu </w:t>
            </w:r>
            <w:proofErr w:type="spellStart"/>
            <w:r w:rsidRPr="0075497B">
              <w:rPr>
                <w:lang w:val="en-US"/>
              </w:rPr>
              <w:t>cerințele</w:t>
            </w:r>
            <w:proofErr w:type="spellEnd"/>
            <w:r w:rsidRPr="0075497B">
              <w:rPr>
                <w:lang w:val="en-US"/>
              </w:rPr>
              <w:t xml:space="preserve"> de </w:t>
            </w:r>
            <w:proofErr w:type="spellStart"/>
            <w:r w:rsidRPr="0075497B">
              <w:rPr>
                <w:lang w:val="en-US"/>
              </w:rPr>
              <w:t>claritate</w:t>
            </w:r>
            <w:proofErr w:type="spellEnd"/>
            <w:r w:rsidRPr="0075497B">
              <w:rPr>
                <w:lang w:val="en-US"/>
              </w:rPr>
              <w:t xml:space="preserve"> </w:t>
            </w:r>
            <w:proofErr w:type="spellStart"/>
            <w:r w:rsidRPr="0075497B">
              <w:rPr>
                <w:lang w:val="en-US"/>
              </w:rPr>
              <w:t>și</w:t>
            </w:r>
            <w:proofErr w:type="spellEnd"/>
            <w:r w:rsidRPr="0075497B">
              <w:rPr>
                <w:lang w:val="en-US"/>
              </w:rPr>
              <w:t xml:space="preserve"> </w:t>
            </w:r>
            <w:proofErr w:type="spellStart"/>
            <w:r w:rsidRPr="0075497B">
              <w:rPr>
                <w:lang w:val="en-US"/>
              </w:rPr>
              <w:t>uniformitate</w:t>
            </w:r>
            <w:proofErr w:type="spellEnd"/>
            <w:r w:rsidRPr="0075497B">
              <w:rPr>
                <w:lang w:val="en-US"/>
              </w:rPr>
              <w:t xml:space="preserve">. </w:t>
            </w:r>
            <w:proofErr w:type="spellStart"/>
            <w:r w:rsidRPr="0075497B">
              <w:rPr>
                <w:lang w:val="en-US"/>
              </w:rPr>
              <w:t>Considerăm</w:t>
            </w:r>
            <w:proofErr w:type="spellEnd"/>
            <w:r w:rsidRPr="0075497B">
              <w:rPr>
                <w:lang w:val="en-US"/>
              </w:rPr>
              <w:t xml:space="preserve"> </w:t>
            </w:r>
            <w:proofErr w:type="spellStart"/>
            <w:r w:rsidRPr="0075497B">
              <w:rPr>
                <w:lang w:val="en-US"/>
              </w:rPr>
              <w:t>că</w:t>
            </w:r>
            <w:proofErr w:type="spellEnd"/>
            <w:r w:rsidRPr="0075497B">
              <w:rPr>
                <w:lang w:val="en-US"/>
              </w:rPr>
              <w:t xml:space="preserve"> </w:t>
            </w:r>
            <w:proofErr w:type="spellStart"/>
            <w:r w:rsidRPr="0075497B">
              <w:rPr>
                <w:lang w:val="en-US"/>
              </w:rPr>
              <w:t>aceste</w:t>
            </w:r>
            <w:proofErr w:type="spellEnd"/>
            <w:r w:rsidRPr="0075497B">
              <w:rPr>
                <w:lang w:val="en-US"/>
              </w:rPr>
              <w:t xml:space="preserve"> </w:t>
            </w:r>
            <w:proofErr w:type="spellStart"/>
            <w:r w:rsidRPr="0075497B">
              <w:rPr>
                <w:lang w:val="en-US"/>
              </w:rPr>
              <w:t>ajustări</w:t>
            </w:r>
            <w:proofErr w:type="spellEnd"/>
            <w:r w:rsidRPr="0075497B">
              <w:rPr>
                <w:lang w:val="en-US"/>
              </w:rPr>
              <w:t xml:space="preserve"> </w:t>
            </w:r>
            <w:proofErr w:type="spellStart"/>
            <w:r w:rsidRPr="0075497B">
              <w:rPr>
                <w:lang w:val="en-US"/>
              </w:rPr>
              <w:t>vor</w:t>
            </w:r>
            <w:proofErr w:type="spellEnd"/>
            <w:r w:rsidRPr="0075497B">
              <w:rPr>
                <w:lang w:val="en-US"/>
              </w:rPr>
              <w:t xml:space="preserve"> </w:t>
            </w:r>
            <w:proofErr w:type="spellStart"/>
            <w:r w:rsidRPr="0075497B">
              <w:rPr>
                <w:lang w:val="en-US"/>
              </w:rPr>
              <w:t>contribui</w:t>
            </w:r>
            <w:proofErr w:type="spellEnd"/>
            <w:r w:rsidRPr="0075497B">
              <w:rPr>
                <w:lang w:val="en-US"/>
              </w:rPr>
              <w:t xml:space="preserve"> la o </w:t>
            </w:r>
            <w:proofErr w:type="spellStart"/>
            <w:r w:rsidRPr="0075497B">
              <w:rPr>
                <w:lang w:val="en-US"/>
              </w:rPr>
              <w:t>aplicare</w:t>
            </w:r>
            <w:proofErr w:type="spellEnd"/>
            <w:r w:rsidRPr="0075497B">
              <w:rPr>
                <w:lang w:val="en-US"/>
              </w:rPr>
              <w:t xml:space="preserve"> </w:t>
            </w:r>
            <w:proofErr w:type="spellStart"/>
            <w:r w:rsidRPr="0075497B">
              <w:rPr>
                <w:lang w:val="en-US"/>
              </w:rPr>
              <w:t>mai</w:t>
            </w:r>
            <w:proofErr w:type="spellEnd"/>
            <w:r w:rsidRPr="0075497B">
              <w:rPr>
                <w:lang w:val="en-US"/>
              </w:rPr>
              <w:t xml:space="preserve"> </w:t>
            </w:r>
            <w:proofErr w:type="spellStart"/>
            <w:r w:rsidRPr="0075497B">
              <w:rPr>
                <w:lang w:val="en-US"/>
              </w:rPr>
              <w:t>clară</w:t>
            </w:r>
            <w:proofErr w:type="spellEnd"/>
            <w:r w:rsidRPr="0075497B">
              <w:rPr>
                <w:lang w:val="en-US"/>
              </w:rPr>
              <w:t xml:space="preserve"> </w:t>
            </w:r>
            <w:proofErr w:type="spellStart"/>
            <w:r w:rsidRPr="0075497B">
              <w:rPr>
                <w:lang w:val="en-US"/>
              </w:rPr>
              <w:t>și</w:t>
            </w:r>
            <w:proofErr w:type="spellEnd"/>
            <w:r w:rsidRPr="0075497B">
              <w:rPr>
                <w:lang w:val="en-US"/>
              </w:rPr>
              <w:t xml:space="preserve"> </w:t>
            </w:r>
            <w:proofErr w:type="spellStart"/>
            <w:r w:rsidRPr="0075497B">
              <w:rPr>
                <w:lang w:val="en-US"/>
              </w:rPr>
              <w:t>uniformă</w:t>
            </w:r>
            <w:proofErr w:type="spellEnd"/>
            <w:r w:rsidRPr="0075497B">
              <w:rPr>
                <w:lang w:val="en-US"/>
              </w:rPr>
              <w:t xml:space="preserve"> a </w:t>
            </w:r>
            <w:proofErr w:type="spellStart"/>
            <w:r w:rsidRPr="0075497B">
              <w:rPr>
                <w:lang w:val="en-US"/>
              </w:rPr>
              <w:t>metodologiei</w:t>
            </w:r>
            <w:proofErr w:type="spellEnd"/>
            <w:r w:rsidRPr="0075497B">
              <w:rPr>
                <w:lang w:val="en-US"/>
              </w:rPr>
              <w:t xml:space="preserve"> </w:t>
            </w:r>
            <w:proofErr w:type="spellStart"/>
            <w:r w:rsidRPr="0075497B">
              <w:rPr>
                <w:lang w:val="en-US"/>
              </w:rPr>
              <w:t>și</w:t>
            </w:r>
            <w:proofErr w:type="spellEnd"/>
            <w:r w:rsidRPr="0075497B">
              <w:rPr>
                <w:lang w:val="en-US"/>
              </w:rPr>
              <w:t xml:space="preserve"> </w:t>
            </w:r>
            <w:proofErr w:type="spellStart"/>
            <w:r w:rsidRPr="0075497B">
              <w:rPr>
                <w:lang w:val="en-US"/>
              </w:rPr>
              <w:t>vor</w:t>
            </w:r>
            <w:proofErr w:type="spellEnd"/>
            <w:r w:rsidRPr="0075497B">
              <w:rPr>
                <w:lang w:val="en-US"/>
              </w:rPr>
              <w:t xml:space="preserve"> </w:t>
            </w:r>
            <w:proofErr w:type="spellStart"/>
            <w:r w:rsidRPr="0075497B">
              <w:rPr>
                <w:lang w:val="en-US"/>
              </w:rPr>
              <w:t>asigura</w:t>
            </w:r>
            <w:proofErr w:type="spellEnd"/>
            <w:r w:rsidRPr="0075497B">
              <w:rPr>
                <w:lang w:val="en-US"/>
              </w:rPr>
              <w:t xml:space="preserve"> </w:t>
            </w:r>
            <w:proofErr w:type="spellStart"/>
            <w:r w:rsidRPr="0075497B">
              <w:rPr>
                <w:lang w:val="en-US"/>
              </w:rPr>
              <w:t>transparența</w:t>
            </w:r>
            <w:proofErr w:type="spellEnd"/>
            <w:r w:rsidRPr="0075497B">
              <w:rPr>
                <w:lang w:val="en-US"/>
              </w:rPr>
              <w:t xml:space="preserve"> </w:t>
            </w:r>
            <w:proofErr w:type="spellStart"/>
            <w:r w:rsidRPr="0075497B">
              <w:rPr>
                <w:lang w:val="en-US"/>
              </w:rPr>
              <w:t>necesară</w:t>
            </w:r>
            <w:proofErr w:type="spellEnd"/>
            <w:r w:rsidRPr="0075497B">
              <w:rPr>
                <w:lang w:val="en-US"/>
              </w:rPr>
              <w:t xml:space="preserve"> </w:t>
            </w:r>
            <w:proofErr w:type="spellStart"/>
            <w:r w:rsidRPr="0075497B">
              <w:rPr>
                <w:lang w:val="en-US"/>
              </w:rPr>
              <w:t>în</w:t>
            </w:r>
            <w:proofErr w:type="spellEnd"/>
            <w:r w:rsidRPr="0075497B">
              <w:rPr>
                <w:lang w:val="en-US"/>
              </w:rPr>
              <w:t xml:space="preserve"> </w:t>
            </w:r>
            <w:proofErr w:type="spellStart"/>
            <w:r w:rsidRPr="0075497B">
              <w:rPr>
                <w:lang w:val="en-US"/>
              </w:rPr>
              <w:t>procesul</w:t>
            </w:r>
            <w:proofErr w:type="spellEnd"/>
            <w:r w:rsidRPr="0075497B">
              <w:rPr>
                <w:lang w:val="en-US"/>
              </w:rPr>
              <w:t xml:space="preserve"> de </w:t>
            </w:r>
            <w:proofErr w:type="spellStart"/>
            <w:r w:rsidRPr="0075497B">
              <w:rPr>
                <w:lang w:val="en-US"/>
              </w:rPr>
              <w:t>implementare</w:t>
            </w:r>
            <w:proofErr w:type="spellEnd"/>
            <w:r w:rsidRPr="0075497B">
              <w:rPr>
                <w:lang w:val="en-US"/>
              </w:rPr>
              <w:t xml:space="preserve">, </w:t>
            </w:r>
            <w:proofErr w:type="spellStart"/>
            <w:r w:rsidRPr="0075497B">
              <w:rPr>
                <w:lang w:val="en-US"/>
              </w:rPr>
              <w:t>respectând</w:t>
            </w:r>
            <w:proofErr w:type="spellEnd"/>
            <w:r w:rsidRPr="0075497B">
              <w:rPr>
                <w:lang w:val="en-US"/>
              </w:rPr>
              <w:t xml:space="preserve"> </w:t>
            </w:r>
            <w:proofErr w:type="spellStart"/>
            <w:r w:rsidRPr="0075497B">
              <w:rPr>
                <w:lang w:val="en-US"/>
              </w:rPr>
              <w:t>în</w:t>
            </w:r>
            <w:proofErr w:type="spellEnd"/>
            <w:r w:rsidRPr="0075497B">
              <w:rPr>
                <w:lang w:val="en-US"/>
              </w:rPr>
              <w:t xml:space="preserve"> </w:t>
            </w:r>
            <w:proofErr w:type="spellStart"/>
            <w:r w:rsidRPr="0075497B">
              <w:rPr>
                <w:lang w:val="en-US"/>
              </w:rPr>
              <w:t>același</w:t>
            </w:r>
            <w:proofErr w:type="spellEnd"/>
            <w:r w:rsidRPr="0075497B">
              <w:rPr>
                <w:lang w:val="en-US"/>
              </w:rPr>
              <w:t xml:space="preserve"> </w:t>
            </w:r>
            <w:proofErr w:type="spellStart"/>
            <w:r w:rsidRPr="0075497B">
              <w:rPr>
                <w:lang w:val="en-US"/>
              </w:rPr>
              <w:t>timp</w:t>
            </w:r>
            <w:proofErr w:type="spellEnd"/>
            <w:r w:rsidRPr="0075497B">
              <w:rPr>
                <w:lang w:val="en-US"/>
              </w:rPr>
              <w:t xml:space="preserve"> </w:t>
            </w:r>
            <w:proofErr w:type="spellStart"/>
            <w:r w:rsidRPr="0075497B">
              <w:rPr>
                <w:lang w:val="en-US"/>
              </w:rPr>
              <w:t>normele</w:t>
            </w:r>
            <w:proofErr w:type="spellEnd"/>
            <w:r w:rsidRPr="0075497B">
              <w:rPr>
                <w:lang w:val="en-US"/>
              </w:rPr>
              <w:t xml:space="preserve"> de </w:t>
            </w:r>
            <w:proofErr w:type="spellStart"/>
            <w:r w:rsidRPr="0075497B">
              <w:rPr>
                <w:lang w:val="en-US"/>
              </w:rPr>
              <w:t>elaborare</w:t>
            </w:r>
            <w:proofErr w:type="spellEnd"/>
            <w:r w:rsidRPr="0075497B">
              <w:rPr>
                <w:lang w:val="en-US"/>
              </w:rPr>
              <w:t xml:space="preserve"> a </w:t>
            </w:r>
            <w:proofErr w:type="spellStart"/>
            <w:r w:rsidRPr="0075497B">
              <w:rPr>
                <w:lang w:val="en-US"/>
              </w:rPr>
              <w:t>actelor</w:t>
            </w:r>
            <w:proofErr w:type="spellEnd"/>
            <w:r w:rsidRPr="0075497B">
              <w:rPr>
                <w:lang w:val="en-US"/>
              </w:rPr>
              <w:t xml:space="preserve"> normative.</w:t>
            </w:r>
          </w:p>
        </w:tc>
        <w:tc>
          <w:tcPr>
            <w:cnfStyle w:val="000100000000" w:firstRow="0" w:lastRow="0" w:firstColumn="0" w:lastColumn="1" w:oddVBand="0" w:evenVBand="0" w:oddHBand="0" w:evenHBand="0" w:firstRowFirstColumn="0" w:firstRowLastColumn="0" w:lastRowFirstColumn="0" w:lastRowLastColumn="0"/>
            <w:tcW w:w="1042" w:type="pct"/>
            <w:tcBorders>
              <w:bottom w:val="single" w:sz="4" w:space="0" w:color="auto"/>
            </w:tcBorders>
          </w:tcPr>
          <w:p w14:paraId="6E56C463" w14:textId="3E872169" w:rsidR="0075497B" w:rsidRPr="0000098F" w:rsidRDefault="0075497B" w:rsidP="0075497B">
            <w:pPr>
              <w:rPr>
                <w:b w:val="0"/>
                <w:sz w:val="22"/>
                <w:szCs w:val="22"/>
                <w:lang w:val="ro-RO"/>
              </w:rPr>
            </w:pPr>
            <w:r w:rsidRPr="0000098F">
              <w:rPr>
                <w:sz w:val="22"/>
                <w:szCs w:val="22"/>
                <w:lang w:val="ro-RO"/>
              </w:rPr>
              <w:t>Se acceptă</w:t>
            </w:r>
            <w:r w:rsidR="00320CA4">
              <w:rPr>
                <w:sz w:val="22"/>
                <w:szCs w:val="22"/>
                <w:lang w:val="ro-RO"/>
              </w:rPr>
              <w:t>.</w:t>
            </w:r>
            <w:r w:rsidR="00F8739F" w:rsidRPr="0000098F">
              <w:rPr>
                <w:sz w:val="22"/>
                <w:szCs w:val="22"/>
                <w:lang w:val="ro-RO"/>
              </w:rPr>
              <w:t xml:space="preserve"> </w:t>
            </w:r>
          </w:p>
          <w:p w14:paraId="33F2763A" w14:textId="5A3862E3" w:rsidR="0075497B" w:rsidRPr="0000098F" w:rsidRDefault="0075497B" w:rsidP="0075497B">
            <w:pPr>
              <w:rPr>
                <w:b w:val="0"/>
                <w:sz w:val="22"/>
                <w:szCs w:val="22"/>
                <w:lang w:val="ro-RO"/>
              </w:rPr>
            </w:pPr>
          </w:p>
          <w:p w14:paraId="40367EBF" w14:textId="10C55775" w:rsidR="0075497B" w:rsidRPr="0000098F" w:rsidRDefault="0075497B" w:rsidP="0075497B">
            <w:pPr>
              <w:rPr>
                <w:b w:val="0"/>
                <w:sz w:val="22"/>
                <w:szCs w:val="22"/>
                <w:lang w:val="ro-RO"/>
              </w:rPr>
            </w:pPr>
          </w:p>
          <w:p w14:paraId="2BA609FF" w14:textId="77777777" w:rsidR="00F8739F" w:rsidRPr="0000098F" w:rsidRDefault="00F8739F" w:rsidP="0075497B">
            <w:pPr>
              <w:rPr>
                <w:b w:val="0"/>
                <w:sz w:val="22"/>
                <w:szCs w:val="22"/>
                <w:lang w:val="ro-RO"/>
              </w:rPr>
            </w:pPr>
          </w:p>
          <w:p w14:paraId="4B442AB6" w14:textId="11277691" w:rsidR="0075497B" w:rsidRPr="0000098F" w:rsidRDefault="0075497B" w:rsidP="0075497B">
            <w:pPr>
              <w:rPr>
                <w:b w:val="0"/>
                <w:sz w:val="22"/>
                <w:szCs w:val="22"/>
                <w:lang w:val="ro-RO"/>
              </w:rPr>
            </w:pPr>
          </w:p>
          <w:p w14:paraId="31FC421D" w14:textId="3581172C" w:rsidR="0075497B" w:rsidRPr="0000098F" w:rsidRDefault="0075497B" w:rsidP="0075497B">
            <w:pPr>
              <w:rPr>
                <w:b w:val="0"/>
                <w:sz w:val="22"/>
                <w:szCs w:val="22"/>
                <w:lang w:val="ro-RO"/>
              </w:rPr>
            </w:pPr>
          </w:p>
          <w:p w14:paraId="3462B526" w14:textId="49CC3531" w:rsidR="0075497B" w:rsidRPr="0000098F" w:rsidRDefault="0075497B" w:rsidP="0075497B">
            <w:pPr>
              <w:rPr>
                <w:b w:val="0"/>
                <w:sz w:val="22"/>
                <w:szCs w:val="22"/>
                <w:lang w:val="ro-RO"/>
              </w:rPr>
            </w:pPr>
          </w:p>
          <w:p w14:paraId="3A217018" w14:textId="2FD613A6" w:rsidR="0075497B" w:rsidRPr="0000098F" w:rsidRDefault="0075497B" w:rsidP="0075497B">
            <w:pPr>
              <w:rPr>
                <w:b w:val="0"/>
                <w:sz w:val="22"/>
                <w:szCs w:val="22"/>
                <w:lang w:val="ro-RO"/>
              </w:rPr>
            </w:pPr>
          </w:p>
          <w:p w14:paraId="42BC935B" w14:textId="576DF1E8" w:rsidR="0075497B" w:rsidRPr="0000098F" w:rsidRDefault="0075497B" w:rsidP="0075497B">
            <w:pPr>
              <w:rPr>
                <w:b w:val="0"/>
                <w:sz w:val="22"/>
                <w:szCs w:val="22"/>
                <w:lang w:val="ro-RO"/>
              </w:rPr>
            </w:pPr>
          </w:p>
          <w:p w14:paraId="68B6395A" w14:textId="1E37BBAA" w:rsidR="0075497B" w:rsidRPr="0000098F" w:rsidRDefault="0075497B" w:rsidP="0075497B">
            <w:pPr>
              <w:jc w:val="both"/>
              <w:rPr>
                <w:b w:val="0"/>
                <w:sz w:val="22"/>
                <w:szCs w:val="22"/>
                <w:lang w:val="ro-RO"/>
              </w:rPr>
            </w:pPr>
          </w:p>
          <w:p w14:paraId="7FDF99C3" w14:textId="21C42FDA" w:rsidR="0075497B" w:rsidRPr="0000098F" w:rsidRDefault="0075497B" w:rsidP="00320CA4">
            <w:pPr>
              <w:jc w:val="both"/>
              <w:rPr>
                <w:b w:val="0"/>
                <w:sz w:val="22"/>
                <w:szCs w:val="22"/>
                <w:lang w:val="ro-RO"/>
              </w:rPr>
            </w:pPr>
            <w:r w:rsidRPr="0000098F">
              <w:rPr>
                <w:sz w:val="22"/>
                <w:szCs w:val="22"/>
                <w:lang w:val="ro-RO"/>
              </w:rPr>
              <w:t xml:space="preserve">Nu se acceptă. </w:t>
            </w:r>
            <w:r w:rsidR="00320CA4" w:rsidRPr="00320CA4">
              <w:rPr>
                <w:b w:val="0"/>
                <w:sz w:val="22"/>
                <w:szCs w:val="22"/>
                <w:lang w:val="ro-RO"/>
              </w:rPr>
              <w:t>A</w:t>
            </w:r>
            <w:r w:rsidR="00320CA4" w:rsidRPr="00320CA4">
              <w:rPr>
                <w:b w:val="0"/>
                <w:sz w:val="22"/>
                <w:szCs w:val="22"/>
                <w:lang w:val="en-GB"/>
              </w:rPr>
              <w:t xml:space="preserve"> se </w:t>
            </w:r>
            <w:proofErr w:type="spellStart"/>
            <w:r w:rsidR="00320CA4" w:rsidRPr="00320CA4">
              <w:rPr>
                <w:b w:val="0"/>
                <w:sz w:val="22"/>
                <w:szCs w:val="22"/>
                <w:lang w:val="en-GB"/>
              </w:rPr>
              <w:t>vedea</w:t>
            </w:r>
            <w:proofErr w:type="spellEnd"/>
            <w:r w:rsidR="00320CA4" w:rsidRPr="00320CA4">
              <w:rPr>
                <w:b w:val="0"/>
                <w:sz w:val="22"/>
                <w:szCs w:val="22"/>
                <w:lang w:val="en-GB"/>
              </w:rPr>
              <w:t xml:space="preserve"> pct. 538 din </w:t>
            </w:r>
            <w:proofErr w:type="spellStart"/>
            <w:r w:rsidR="00320CA4" w:rsidRPr="00320CA4">
              <w:rPr>
                <w:b w:val="0"/>
                <w:sz w:val="22"/>
                <w:szCs w:val="22"/>
                <w:lang w:val="en-GB"/>
              </w:rPr>
              <w:t>Codul</w:t>
            </w:r>
            <w:proofErr w:type="spellEnd"/>
            <w:r w:rsidR="00320CA4" w:rsidRPr="00320CA4">
              <w:rPr>
                <w:b w:val="0"/>
                <w:sz w:val="22"/>
                <w:szCs w:val="22"/>
                <w:lang w:val="en-GB"/>
              </w:rPr>
              <w:t xml:space="preserve"> </w:t>
            </w:r>
            <w:proofErr w:type="spellStart"/>
            <w:r w:rsidR="00320CA4" w:rsidRPr="00320CA4">
              <w:rPr>
                <w:b w:val="0"/>
                <w:sz w:val="22"/>
                <w:szCs w:val="22"/>
                <w:lang w:val="en-GB"/>
              </w:rPr>
              <w:t>retelelor</w:t>
            </w:r>
            <w:proofErr w:type="spellEnd"/>
            <w:r w:rsidR="00320CA4" w:rsidRPr="00320CA4">
              <w:rPr>
                <w:b w:val="0"/>
                <w:sz w:val="22"/>
                <w:szCs w:val="22"/>
                <w:lang w:val="en-GB"/>
              </w:rPr>
              <w:t xml:space="preserve"> de gaze </w:t>
            </w:r>
            <w:proofErr w:type="spellStart"/>
            <w:r w:rsidR="00320CA4" w:rsidRPr="00320CA4">
              <w:rPr>
                <w:b w:val="0"/>
                <w:sz w:val="22"/>
                <w:szCs w:val="22"/>
                <w:lang w:val="en-GB"/>
              </w:rPr>
              <w:t>naturale</w:t>
            </w:r>
            <w:proofErr w:type="spellEnd"/>
            <w:r w:rsidR="00320CA4" w:rsidRPr="00320CA4">
              <w:rPr>
                <w:b w:val="0"/>
                <w:sz w:val="22"/>
                <w:szCs w:val="22"/>
                <w:lang w:val="en-GB"/>
              </w:rPr>
              <w:t>)</w:t>
            </w:r>
            <w:r w:rsidR="00320CA4" w:rsidRPr="0000098F">
              <w:rPr>
                <w:b w:val="0"/>
                <w:i/>
                <w:sz w:val="22"/>
                <w:szCs w:val="22"/>
                <w:lang w:val="en-GB"/>
              </w:rPr>
              <w:t>.</w:t>
            </w:r>
            <w:r w:rsidR="00320CA4">
              <w:rPr>
                <w:i/>
                <w:sz w:val="22"/>
                <w:szCs w:val="22"/>
                <w:lang w:val="ro-RO"/>
              </w:rPr>
              <w:t xml:space="preserve"> </w:t>
            </w:r>
            <w:r w:rsidRPr="0000098F">
              <w:rPr>
                <w:b w:val="0"/>
                <w:sz w:val="22"/>
                <w:szCs w:val="22"/>
                <w:lang w:val="en-GB"/>
              </w:rPr>
              <w:t xml:space="preserve">Nu pot fi enumerate </w:t>
            </w:r>
            <w:proofErr w:type="spellStart"/>
            <w:r w:rsidRPr="0000098F">
              <w:rPr>
                <w:b w:val="0"/>
                <w:sz w:val="22"/>
                <w:szCs w:val="22"/>
                <w:lang w:val="en-GB"/>
              </w:rPr>
              <w:t>expres</w:t>
            </w:r>
            <w:proofErr w:type="spellEnd"/>
            <w:r w:rsidRPr="0000098F">
              <w:rPr>
                <w:b w:val="0"/>
                <w:sz w:val="22"/>
                <w:szCs w:val="22"/>
                <w:lang w:val="en-GB"/>
              </w:rPr>
              <w:t xml:space="preserve"> </w:t>
            </w:r>
            <w:proofErr w:type="spellStart"/>
            <w:r w:rsidRPr="0000098F">
              <w:rPr>
                <w:b w:val="0"/>
                <w:sz w:val="22"/>
                <w:szCs w:val="22"/>
                <w:lang w:val="en-GB"/>
              </w:rPr>
              <w:t>toate</w:t>
            </w:r>
            <w:proofErr w:type="spellEnd"/>
            <w:r w:rsidRPr="0000098F">
              <w:rPr>
                <w:b w:val="0"/>
                <w:sz w:val="22"/>
                <w:szCs w:val="22"/>
                <w:lang w:val="en-GB"/>
              </w:rPr>
              <w:t xml:space="preserve"> </w:t>
            </w:r>
            <w:proofErr w:type="spellStart"/>
            <w:r w:rsidRPr="0000098F">
              <w:rPr>
                <w:b w:val="0"/>
                <w:sz w:val="22"/>
                <w:szCs w:val="22"/>
                <w:lang w:val="en-GB"/>
              </w:rPr>
              <w:t>costurile</w:t>
            </w:r>
            <w:proofErr w:type="spellEnd"/>
            <w:r w:rsidRPr="0000098F">
              <w:rPr>
                <w:sz w:val="22"/>
                <w:szCs w:val="22"/>
                <w:lang w:val="en-GB"/>
              </w:rPr>
              <w:t xml:space="preserve"> </w:t>
            </w:r>
            <w:r w:rsidRPr="0000098F">
              <w:rPr>
                <w:b w:val="0"/>
                <w:sz w:val="22"/>
                <w:szCs w:val="22"/>
                <w:lang w:val="en-GB"/>
              </w:rPr>
              <w:t xml:space="preserve">care </w:t>
            </w:r>
            <w:proofErr w:type="spellStart"/>
            <w:r w:rsidRPr="0000098F">
              <w:rPr>
                <w:b w:val="0"/>
                <w:sz w:val="22"/>
                <w:szCs w:val="22"/>
                <w:lang w:val="en-GB"/>
              </w:rPr>
              <w:t>reprezintă</w:t>
            </w:r>
            <w:proofErr w:type="spellEnd"/>
            <w:r w:rsidRPr="0000098F">
              <w:rPr>
                <w:b w:val="0"/>
                <w:sz w:val="22"/>
                <w:szCs w:val="22"/>
                <w:lang w:val="en-GB"/>
              </w:rPr>
              <w:t xml:space="preserve"> de </w:t>
            </w:r>
            <w:proofErr w:type="spellStart"/>
            <w:r w:rsidRPr="0000098F">
              <w:rPr>
                <w:b w:val="0"/>
                <w:sz w:val="22"/>
                <w:szCs w:val="22"/>
                <w:lang w:val="en-GB"/>
              </w:rPr>
              <w:t>fapt</w:t>
            </w:r>
            <w:proofErr w:type="spellEnd"/>
            <w:r w:rsidRPr="0000098F">
              <w:rPr>
                <w:b w:val="0"/>
                <w:sz w:val="22"/>
                <w:szCs w:val="22"/>
                <w:lang w:val="en-GB"/>
              </w:rPr>
              <w:t xml:space="preserve"> </w:t>
            </w:r>
            <w:proofErr w:type="spellStart"/>
            <w:r w:rsidRPr="0000098F">
              <w:rPr>
                <w:b w:val="0"/>
                <w:sz w:val="22"/>
                <w:szCs w:val="22"/>
                <w:lang w:val="en-GB"/>
              </w:rPr>
              <w:t>toate</w:t>
            </w:r>
            <w:proofErr w:type="spellEnd"/>
            <w:r w:rsidRPr="0000098F">
              <w:rPr>
                <w:b w:val="0"/>
                <w:sz w:val="22"/>
                <w:szCs w:val="22"/>
                <w:lang w:val="en-GB"/>
              </w:rPr>
              <w:t xml:space="preserve"> </w:t>
            </w:r>
            <w:proofErr w:type="spellStart"/>
            <w:r w:rsidR="00F459CF" w:rsidRPr="0000098F">
              <w:rPr>
                <w:b w:val="0"/>
                <w:sz w:val="22"/>
                <w:szCs w:val="22"/>
                <w:lang w:val="en-GB"/>
              </w:rPr>
              <w:t>cheltuielile</w:t>
            </w:r>
            <w:proofErr w:type="spellEnd"/>
            <w:r w:rsidR="00D7413C" w:rsidRPr="0000098F">
              <w:rPr>
                <w:b w:val="0"/>
                <w:sz w:val="22"/>
                <w:szCs w:val="22"/>
                <w:lang w:val="en-GB"/>
              </w:rPr>
              <w:t xml:space="preserve"> </w:t>
            </w:r>
            <w:proofErr w:type="spellStart"/>
            <w:r w:rsidRPr="0000098F">
              <w:rPr>
                <w:b w:val="0"/>
                <w:sz w:val="22"/>
                <w:szCs w:val="22"/>
                <w:lang w:val="en-GB"/>
              </w:rPr>
              <w:t>costurile</w:t>
            </w:r>
            <w:proofErr w:type="spellEnd"/>
            <w:r w:rsidRPr="0000098F">
              <w:rPr>
                <w:b w:val="0"/>
                <w:sz w:val="22"/>
                <w:szCs w:val="22"/>
                <w:lang w:val="en-GB"/>
              </w:rPr>
              <w:t xml:space="preserve"> </w:t>
            </w:r>
            <w:proofErr w:type="spellStart"/>
            <w:r w:rsidRPr="0000098F">
              <w:rPr>
                <w:b w:val="0"/>
                <w:sz w:val="22"/>
                <w:szCs w:val="22"/>
                <w:lang w:val="en-GB"/>
              </w:rPr>
              <w:t>aferente</w:t>
            </w:r>
            <w:proofErr w:type="spellEnd"/>
            <w:r w:rsidRPr="0000098F">
              <w:rPr>
                <w:b w:val="0"/>
                <w:sz w:val="22"/>
                <w:szCs w:val="22"/>
                <w:lang w:val="en-GB"/>
              </w:rPr>
              <w:t xml:space="preserve"> </w:t>
            </w:r>
            <w:proofErr w:type="spellStart"/>
            <w:r w:rsidRPr="0000098F">
              <w:rPr>
                <w:b w:val="0"/>
                <w:sz w:val="22"/>
                <w:szCs w:val="22"/>
                <w:lang w:val="en-GB"/>
              </w:rPr>
              <w:t>activităţilor</w:t>
            </w:r>
            <w:proofErr w:type="spellEnd"/>
            <w:r w:rsidRPr="0000098F">
              <w:rPr>
                <w:b w:val="0"/>
                <w:sz w:val="22"/>
                <w:szCs w:val="22"/>
                <w:lang w:val="en-GB"/>
              </w:rPr>
              <w:t xml:space="preserve"> </w:t>
            </w:r>
            <w:proofErr w:type="spellStart"/>
            <w:r w:rsidRPr="0000098F">
              <w:rPr>
                <w:b w:val="0"/>
                <w:sz w:val="22"/>
                <w:szCs w:val="22"/>
                <w:lang w:val="en-GB"/>
              </w:rPr>
              <w:t>desfăşurate</w:t>
            </w:r>
            <w:proofErr w:type="spellEnd"/>
            <w:r w:rsidRPr="0000098F">
              <w:rPr>
                <w:b w:val="0"/>
                <w:sz w:val="22"/>
                <w:szCs w:val="22"/>
                <w:lang w:val="en-GB"/>
              </w:rPr>
              <w:t xml:space="preserve"> de OST </w:t>
            </w:r>
            <w:proofErr w:type="spellStart"/>
            <w:r w:rsidRPr="0000098F">
              <w:rPr>
                <w:b w:val="0"/>
                <w:sz w:val="22"/>
                <w:szCs w:val="22"/>
                <w:lang w:val="en-GB"/>
              </w:rPr>
              <w:t>în</w:t>
            </w:r>
            <w:proofErr w:type="spellEnd"/>
            <w:r w:rsidRPr="0000098F">
              <w:rPr>
                <w:b w:val="0"/>
                <w:sz w:val="22"/>
                <w:szCs w:val="22"/>
                <w:lang w:val="en-GB"/>
              </w:rPr>
              <w:t xml:space="preserve"> </w:t>
            </w:r>
            <w:proofErr w:type="spellStart"/>
            <w:r w:rsidRPr="0000098F">
              <w:rPr>
                <w:b w:val="0"/>
                <w:sz w:val="22"/>
                <w:szCs w:val="22"/>
                <w:lang w:val="en-GB"/>
              </w:rPr>
              <w:t>vederea</w:t>
            </w:r>
            <w:proofErr w:type="spellEnd"/>
            <w:r w:rsidRPr="0000098F">
              <w:rPr>
                <w:b w:val="0"/>
                <w:sz w:val="22"/>
                <w:szCs w:val="22"/>
                <w:lang w:val="en-GB"/>
              </w:rPr>
              <w:t xml:space="preserve"> </w:t>
            </w:r>
            <w:proofErr w:type="spellStart"/>
            <w:r w:rsidRPr="0000098F">
              <w:rPr>
                <w:b w:val="0"/>
                <w:sz w:val="22"/>
                <w:szCs w:val="22"/>
                <w:lang w:val="en-GB"/>
              </w:rPr>
              <w:t>îndeplinirii</w:t>
            </w:r>
            <w:proofErr w:type="spellEnd"/>
            <w:r w:rsidRPr="0000098F">
              <w:rPr>
                <w:b w:val="0"/>
                <w:sz w:val="22"/>
                <w:szCs w:val="22"/>
                <w:lang w:val="en-GB"/>
              </w:rPr>
              <w:t xml:space="preserve"> </w:t>
            </w:r>
            <w:proofErr w:type="spellStart"/>
            <w:r w:rsidR="00320CA4">
              <w:rPr>
                <w:b w:val="0"/>
                <w:sz w:val="22"/>
                <w:szCs w:val="22"/>
                <w:lang w:val="en-GB"/>
              </w:rPr>
              <w:t>actiunilor</w:t>
            </w:r>
            <w:proofErr w:type="spellEnd"/>
            <w:r w:rsidR="00320CA4">
              <w:rPr>
                <w:b w:val="0"/>
                <w:sz w:val="22"/>
                <w:szCs w:val="22"/>
                <w:lang w:val="en-GB"/>
              </w:rPr>
              <w:t xml:space="preserve"> </w:t>
            </w:r>
            <w:r w:rsidRPr="0000098F">
              <w:rPr>
                <w:b w:val="0"/>
                <w:sz w:val="22"/>
                <w:szCs w:val="22"/>
                <w:lang w:val="en-GB"/>
              </w:rPr>
              <w:t xml:space="preserve"> </w:t>
            </w:r>
            <w:r w:rsidR="00320CA4">
              <w:rPr>
                <w:b w:val="0"/>
                <w:sz w:val="22"/>
                <w:szCs w:val="22"/>
                <w:lang w:val="en-GB"/>
              </w:rPr>
              <w:t>de echilibrare.</w:t>
            </w:r>
          </w:p>
        </w:tc>
      </w:tr>
      <w:tr w:rsidR="00C94EB7" w:rsidRPr="00E11DE1" w14:paraId="5159F3D8" w14:textId="77777777" w:rsidTr="006C7A87">
        <w:trPr>
          <w:trHeight w:val="1011"/>
        </w:trPr>
        <w:tc>
          <w:tcPr>
            <w:tcW w:w="327" w:type="pct"/>
            <w:tcBorders>
              <w:bottom w:val="single" w:sz="4" w:space="0" w:color="auto"/>
            </w:tcBorders>
            <w:vAlign w:val="center"/>
          </w:tcPr>
          <w:p w14:paraId="10EC1208" w14:textId="7574AA72" w:rsidR="00C94EB7" w:rsidRPr="000B038D" w:rsidRDefault="00C94EB7" w:rsidP="007D4607">
            <w:pPr>
              <w:jc w:val="center"/>
              <w:rPr>
                <w:sz w:val="22"/>
                <w:szCs w:val="22"/>
                <w:lang w:val="ro-RO"/>
              </w:rPr>
            </w:pPr>
            <w:r w:rsidRPr="000B038D">
              <w:rPr>
                <w:sz w:val="22"/>
                <w:szCs w:val="22"/>
                <w:lang w:val="ro-RO"/>
              </w:rPr>
              <w:t>Pct.</w:t>
            </w:r>
            <w:r w:rsidR="00F459CF">
              <w:rPr>
                <w:sz w:val="22"/>
                <w:szCs w:val="22"/>
                <w:lang w:val="ro-RO"/>
              </w:rPr>
              <w:t xml:space="preserve"> </w:t>
            </w:r>
            <w:r w:rsidRPr="000B038D">
              <w:rPr>
                <w:sz w:val="22"/>
                <w:szCs w:val="22"/>
                <w:lang w:val="ro-RO"/>
              </w:rPr>
              <w:t>1</w:t>
            </w:r>
          </w:p>
        </w:tc>
        <w:tc>
          <w:tcPr>
            <w:tcW w:w="602" w:type="pct"/>
            <w:tcBorders>
              <w:bottom w:val="single" w:sz="4" w:space="0" w:color="auto"/>
            </w:tcBorders>
            <w:vAlign w:val="center"/>
          </w:tcPr>
          <w:p w14:paraId="63CDC737" w14:textId="77777777" w:rsidR="00A63B72" w:rsidRPr="000B038D" w:rsidRDefault="00A63B72" w:rsidP="00A63B72">
            <w:pPr>
              <w:jc w:val="center"/>
              <w:rPr>
                <w:sz w:val="22"/>
                <w:szCs w:val="22"/>
                <w:lang w:val="ro-RO"/>
              </w:rPr>
            </w:pPr>
            <w:r w:rsidRPr="000B038D">
              <w:rPr>
                <w:sz w:val="22"/>
                <w:szCs w:val="22"/>
                <w:lang w:val="it-IT"/>
              </w:rPr>
              <w:t xml:space="preserve">SA </w:t>
            </w:r>
            <w:r w:rsidRPr="000B038D">
              <w:rPr>
                <w:sz w:val="22"/>
                <w:szCs w:val="22"/>
                <w:lang w:val="ro-RO"/>
              </w:rPr>
              <w:t>„</w:t>
            </w:r>
            <w:proofErr w:type="spellStart"/>
            <w:r w:rsidRPr="000B038D">
              <w:rPr>
                <w:sz w:val="22"/>
                <w:szCs w:val="22"/>
                <w:lang w:val="it-IT"/>
              </w:rPr>
              <w:t>Moldovagaz</w:t>
            </w:r>
            <w:proofErr w:type="spellEnd"/>
            <w:r w:rsidRPr="000B038D">
              <w:rPr>
                <w:sz w:val="22"/>
                <w:szCs w:val="22"/>
                <w:lang w:val="ro-RO"/>
              </w:rPr>
              <w:t>”</w:t>
            </w:r>
          </w:p>
          <w:p w14:paraId="68606909" w14:textId="77777777" w:rsidR="00A63B72" w:rsidRPr="000B038D" w:rsidRDefault="00A63B72" w:rsidP="00A63B72">
            <w:pPr>
              <w:jc w:val="center"/>
              <w:rPr>
                <w:sz w:val="22"/>
                <w:szCs w:val="22"/>
                <w:lang w:val="it-IT"/>
              </w:rPr>
            </w:pPr>
            <w:r w:rsidRPr="000B038D">
              <w:rPr>
                <w:sz w:val="22"/>
                <w:szCs w:val="22"/>
                <w:lang w:val="ro-RO"/>
              </w:rPr>
              <w:t>nr. 02/2-2475 din 03.09.2024</w:t>
            </w:r>
          </w:p>
          <w:p w14:paraId="4B7C892F" w14:textId="77777777" w:rsidR="00C94EB7" w:rsidRPr="000B038D" w:rsidRDefault="00C94EB7" w:rsidP="007D4607">
            <w:pPr>
              <w:jc w:val="center"/>
              <w:rPr>
                <w:sz w:val="22"/>
                <w:szCs w:val="22"/>
                <w:lang w:val="en-GB"/>
              </w:rPr>
            </w:pPr>
          </w:p>
        </w:tc>
        <w:tc>
          <w:tcPr>
            <w:tcW w:w="1309" w:type="pct"/>
            <w:tcBorders>
              <w:bottom w:val="single" w:sz="4" w:space="0" w:color="auto"/>
            </w:tcBorders>
            <w:vAlign w:val="center"/>
          </w:tcPr>
          <w:p w14:paraId="022C6419" w14:textId="77777777" w:rsidR="00A63B72" w:rsidRPr="000B038D" w:rsidRDefault="00A63B72" w:rsidP="000F011F">
            <w:pPr>
              <w:pStyle w:val="ListParagraph"/>
              <w:tabs>
                <w:tab w:val="left" w:pos="284"/>
              </w:tabs>
              <w:spacing w:before="120" w:after="0" w:line="240" w:lineRule="auto"/>
              <w:ind w:left="0"/>
              <w:contextualSpacing w:val="0"/>
              <w:jc w:val="both"/>
              <w:rPr>
                <w:rFonts w:ascii="Times New Roman" w:hAnsi="Times New Roman"/>
                <w:lang w:val="ro-MD"/>
              </w:rPr>
            </w:pPr>
            <w:r w:rsidRPr="000B038D">
              <w:rPr>
                <w:rFonts w:ascii="Times New Roman" w:hAnsi="Times New Roman"/>
                <w:lang w:val="ro-MD"/>
              </w:rPr>
              <w:t>Metodologia de calculare a plăților pentru neutralitate (în continuare - Metoda) stabilește modul de calculare de către OST a plăților pentru neutralitate, în scopul asigurării neutralității costurilor acțiunilor de echilibrare întreprinse de OST, în conformitate cu Codul rețelelor de gaze naturale, aprobat prin Hotărârea Consiliului de administrație nr. 420/2019.</w:t>
            </w:r>
          </w:p>
          <w:p w14:paraId="03A7A678" w14:textId="77777777" w:rsidR="00C94EB7" w:rsidRPr="000B038D" w:rsidRDefault="00C94EB7" w:rsidP="007D4607">
            <w:pPr>
              <w:jc w:val="center"/>
              <w:rPr>
                <w:sz w:val="22"/>
                <w:szCs w:val="22"/>
                <w:lang w:val="ro-MD"/>
              </w:rPr>
            </w:pPr>
          </w:p>
        </w:tc>
        <w:tc>
          <w:tcPr>
            <w:tcW w:w="1719" w:type="pct"/>
            <w:tcBorders>
              <w:bottom w:val="single" w:sz="4" w:space="0" w:color="auto"/>
            </w:tcBorders>
            <w:vAlign w:val="center"/>
          </w:tcPr>
          <w:p w14:paraId="51AA0DA1" w14:textId="023F7532" w:rsidR="00C94EB7" w:rsidRPr="000B038D" w:rsidRDefault="00C94EB7" w:rsidP="00C94EB7">
            <w:pPr>
              <w:jc w:val="both"/>
              <w:rPr>
                <w:sz w:val="22"/>
                <w:szCs w:val="22"/>
                <w:lang w:val="ro-RO"/>
              </w:rPr>
            </w:pPr>
            <w:r w:rsidRPr="000B038D">
              <w:rPr>
                <w:color w:val="000000" w:themeColor="text1"/>
                <w:sz w:val="22"/>
                <w:szCs w:val="22"/>
                <w:lang w:val="ro-RO"/>
              </w:rPr>
              <w:t>Pct</w:t>
            </w:r>
            <w:r w:rsidRPr="000B038D">
              <w:rPr>
                <w:b/>
                <w:color w:val="000000" w:themeColor="text1"/>
                <w:sz w:val="22"/>
                <w:szCs w:val="22"/>
                <w:lang w:val="ro-RO"/>
              </w:rPr>
              <w:t xml:space="preserve">. </w:t>
            </w:r>
            <w:r w:rsidRPr="000B038D">
              <w:rPr>
                <w:color w:val="000000" w:themeColor="text1"/>
                <w:sz w:val="22"/>
                <w:szCs w:val="22"/>
                <w:lang w:val="ro-RO"/>
              </w:rPr>
              <w:t>1 textul „</w:t>
            </w:r>
            <w:r w:rsidRPr="000B038D">
              <w:rPr>
                <w:i/>
                <w:color w:val="000000" w:themeColor="text1"/>
                <w:sz w:val="22"/>
                <w:szCs w:val="22"/>
                <w:lang w:val="ro-RO"/>
              </w:rPr>
              <w:t>nr.</w:t>
            </w:r>
            <w:r w:rsidR="00F459CF">
              <w:rPr>
                <w:i/>
                <w:color w:val="000000" w:themeColor="text1"/>
                <w:sz w:val="22"/>
                <w:szCs w:val="22"/>
                <w:lang w:val="ro-RO"/>
              </w:rPr>
              <w:t xml:space="preserve"> </w:t>
            </w:r>
            <w:r w:rsidRPr="000B038D">
              <w:rPr>
                <w:i/>
                <w:color w:val="000000" w:themeColor="text1"/>
                <w:sz w:val="22"/>
                <w:szCs w:val="22"/>
                <w:lang w:val="ro-RO"/>
              </w:rPr>
              <w:t>420/2019</w:t>
            </w:r>
            <w:r w:rsidRPr="000B038D">
              <w:rPr>
                <w:color w:val="000000" w:themeColor="text1"/>
                <w:sz w:val="22"/>
                <w:szCs w:val="22"/>
                <w:lang w:val="ro-RO"/>
              </w:rPr>
              <w:t>” se va substitui cu textul „</w:t>
            </w:r>
            <w:r w:rsidRPr="000B038D">
              <w:rPr>
                <w:i/>
                <w:color w:val="000000" w:themeColor="text1"/>
                <w:sz w:val="22"/>
                <w:szCs w:val="22"/>
                <w:lang w:val="ro-RO"/>
              </w:rPr>
              <w:t>al ANRE nr. 420/2019 (în continuare – Codul rețelelor de gaze naturale)</w:t>
            </w:r>
            <w:r w:rsidRPr="000B038D">
              <w:rPr>
                <w:color w:val="000000" w:themeColor="text1"/>
                <w:sz w:val="22"/>
                <w:szCs w:val="22"/>
                <w:lang w:val="ro-RO"/>
              </w:rPr>
              <w:t>”.</w:t>
            </w:r>
          </w:p>
        </w:tc>
        <w:tc>
          <w:tcPr>
            <w:cnfStyle w:val="000100000000" w:firstRow="0" w:lastRow="0" w:firstColumn="0" w:lastColumn="1" w:oddVBand="0" w:evenVBand="0" w:oddHBand="0" w:evenHBand="0" w:firstRowFirstColumn="0" w:firstRowLastColumn="0" w:lastRowFirstColumn="0" w:lastRowLastColumn="0"/>
            <w:tcW w:w="1042" w:type="pct"/>
            <w:tcBorders>
              <w:bottom w:val="single" w:sz="4" w:space="0" w:color="auto"/>
            </w:tcBorders>
            <w:vAlign w:val="center"/>
          </w:tcPr>
          <w:p w14:paraId="26A31DF4" w14:textId="613F2DE2" w:rsidR="00FB1D83" w:rsidRPr="0000098F" w:rsidRDefault="00585FF8" w:rsidP="00FB1D83">
            <w:pPr>
              <w:pStyle w:val="ListParagraph"/>
              <w:tabs>
                <w:tab w:val="left" w:pos="284"/>
              </w:tabs>
              <w:spacing w:before="120" w:after="0" w:line="240" w:lineRule="auto"/>
              <w:ind w:left="0"/>
              <w:contextualSpacing w:val="0"/>
              <w:jc w:val="both"/>
              <w:rPr>
                <w:rFonts w:ascii="Times New Roman" w:hAnsi="Times New Roman"/>
                <w:b w:val="0"/>
                <w:bCs w:val="0"/>
              </w:rPr>
            </w:pPr>
            <w:r w:rsidRPr="0000098F">
              <w:rPr>
                <w:rFonts w:ascii="Times New Roman" w:hAnsi="Times New Roman"/>
                <w:lang w:val="ro-MD"/>
              </w:rPr>
              <w:t>Se accept</w:t>
            </w:r>
            <w:r w:rsidRPr="0000098F">
              <w:rPr>
                <w:rFonts w:ascii="Times New Roman" w:hAnsi="Times New Roman"/>
              </w:rPr>
              <w:t>ă</w:t>
            </w:r>
            <w:r w:rsidR="000F011F" w:rsidRPr="0000098F">
              <w:rPr>
                <w:rFonts w:ascii="Times New Roman" w:hAnsi="Times New Roman"/>
              </w:rPr>
              <w:t>.</w:t>
            </w:r>
          </w:p>
          <w:p w14:paraId="03D9B0A2" w14:textId="03175698" w:rsidR="00585FF8" w:rsidRPr="0000098F" w:rsidRDefault="00585FF8" w:rsidP="00585FF8">
            <w:pPr>
              <w:pStyle w:val="ListParagraph"/>
              <w:tabs>
                <w:tab w:val="left" w:pos="284"/>
              </w:tabs>
              <w:spacing w:before="120" w:after="0" w:line="240" w:lineRule="auto"/>
              <w:ind w:left="0"/>
              <w:contextualSpacing w:val="0"/>
              <w:jc w:val="both"/>
            </w:pPr>
          </w:p>
        </w:tc>
      </w:tr>
      <w:tr w:rsidR="00C94EB7" w:rsidRPr="00691D2D" w14:paraId="1A695B47" w14:textId="77777777" w:rsidTr="006C7A87">
        <w:trPr>
          <w:trHeight w:val="1011"/>
        </w:trPr>
        <w:tc>
          <w:tcPr>
            <w:tcW w:w="327" w:type="pct"/>
            <w:tcBorders>
              <w:bottom w:val="single" w:sz="4" w:space="0" w:color="auto"/>
            </w:tcBorders>
            <w:vAlign w:val="center"/>
          </w:tcPr>
          <w:p w14:paraId="462EF44D" w14:textId="7E1C2CF9" w:rsidR="00C94EB7" w:rsidRPr="000B038D" w:rsidRDefault="00C94EB7" w:rsidP="007D4607">
            <w:pPr>
              <w:jc w:val="center"/>
              <w:rPr>
                <w:sz w:val="22"/>
                <w:szCs w:val="22"/>
                <w:lang w:val="ro-RO"/>
              </w:rPr>
            </w:pPr>
            <w:r w:rsidRPr="000B038D">
              <w:rPr>
                <w:sz w:val="22"/>
                <w:szCs w:val="22"/>
                <w:lang w:val="ro-RO"/>
              </w:rPr>
              <w:lastRenderedPageBreak/>
              <w:t>Pct.</w:t>
            </w:r>
            <w:r w:rsidR="00F459CF">
              <w:rPr>
                <w:sz w:val="22"/>
                <w:szCs w:val="22"/>
                <w:lang w:val="ro-RO"/>
              </w:rPr>
              <w:t xml:space="preserve"> </w:t>
            </w:r>
            <w:r w:rsidRPr="000B038D">
              <w:rPr>
                <w:sz w:val="22"/>
                <w:szCs w:val="22"/>
                <w:lang w:val="ro-RO"/>
              </w:rPr>
              <w:t>4</w:t>
            </w:r>
          </w:p>
        </w:tc>
        <w:tc>
          <w:tcPr>
            <w:tcW w:w="602" w:type="pct"/>
            <w:tcBorders>
              <w:bottom w:val="single" w:sz="4" w:space="0" w:color="auto"/>
            </w:tcBorders>
            <w:vAlign w:val="center"/>
          </w:tcPr>
          <w:p w14:paraId="6A6D7DE3" w14:textId="77777777" w:rsidR="00A63B72" w:rsidRPr="000B038D" w:rsidRDefault="00A63B72" w:rsidP="00A63B72">
            <w:pPr>
              <w:jc w:val="center"/>
              <w:rPr>
                <w:b/>
                <w:bCs/>
                <w:sz w:val="22"/>
                <w:szCs w:val="22"/>
                <w:lang w:val="ro-RO"/>
              </w:rPr>
            </w:pPr>
            <w:r w:rsidRPr="000B038D">
              <w:rPr>
                <w:sz w:val="22"/>
                <w:szCs w:val="22"/>
                <w:lang w:val="it-IT"/>
              </w:rPr>
              <w:t xml:space="preserve">SA </w:t>
            </w:r>
            <w:r w:rsidRPr="000B038D">
              <w:rPr>
                <w:sz w:val="22"/>
                <w:szCs w:val="22"/>
                <w:lang w:val="ro-RO"/>
              </w:rPr>
              <w:t>„</w:t>
            </w:r>
            <w:proofErr w:type="spellStart"/>
            <w:r w:rsidRPr="000B038D">
              <w:rPr>
                <w:sz w:val="22"/>
                <w:szCs w:val="22"/>
                <w:lang w:val="it-IT"/>
              </w:rPr>
              <w:t>Moldovagaz</w:t>
            </w:r>
            <w:proofErr w:type="spellEnd"/>
            <w:r w:rsidRPr="000B038D">
              <w:rPr>
                <w:sz w:val="22"/>
                <w:szCs w:val="22"/>
                <w:lang w:val="ro-RO"/>
              </w:rPr>
              <w:t>”</w:t>
            </w:r>
          </w:p>
          <w:p w14:paraId="05834DE7" w14:textId="77777777" w:rsidR="00A63B72" w:rsidRPr="000B038D" w:rsidRDefault="00A63B72" w:rsidP="00A63B72">
            <w:pPr>
              <w:jc w:val="center"/>
              <w:rPr>
                <w:b/>
                <w:bCs/>
                <w:sz w:val="22"/>
                <w:szCs w:val="22"/>
                <w:lang w:val="it-IT"/>
              </w:rPr>
            </w:pPr>
            <w:r w:rsidRPr="000B038D">
              <w:rPr>
                <w:sz w:val="22"/>
                <w:szCs w:val="22"/>
                <w:lang w:val="ro-RO"/>
              </w:rPr>
              <w:t>nr. 02/2-2475 din 03.09.2024</w:t>
            </w:r>
          </w:p>
          <w:p w14:paraId="125F0485" w14:textId="77777777" w:rsidR="00C94EB7" w:rsidRPr="000B038D" w:rsidRDefault="00C94EB7" w:rsidP="007D4607">
            <w:pPr>
              <w:jc w:val="center"/>
              <w:rPr>
                <w:sz w:val="22"/>
                <w:szCs w:val="22"/>
                <w:lang w:val="it-IT"/>
              </w:rPr>
            </w:pPr>
          </w:p>
        </w:tc>
        <w:tc>
          <w:tcPr>
            <w:tcW w:w="1309" w:type="pct"/>
            <w:tcBorders>
              <w:bottom w:val="single" w:sz="4" w:space="0" w:color="auto"/>
            </w:tcBorders>
            <w:vAlign w:val="center"/>
          </w:tcPr>
          <w:p w14:paraId="623D0DEC" w14:textId="60264FB4" w:rsidR="00C94EB7" w:rsidRPr="000B038D" w:rsidRDefault="00A63B72" w:rsidP="00A63B72">
            <w:pPr>
              <w:jc w:val="both"/>
              <w:rPr>
                <w:sz w:val="22"/>
                <w:szCs w:val="22"/>
                <w:lang w:val="ro-RO"/>
              </w:rPr>
            </w:pPr>
            <w:r w:rsidRPr="000B038D">
              <w:rPr>
                <w:sz w:val="22"/>
                <w:szCs w:val="22"/>
                <w:lang w:val="ro-MD"/>
              </w:rPr>
              <w:t xml:space="preserve">OST nu înregistrează </w:t>
            </w:r>
            <w:proofErr w:type="spellStart"/>
            <w:r w:rsidRPr="000B038D">
              <w:rPr>
                <w:sz w:val="22"/>
                <w:szCs w:val="22"/>
                <w:lang w:val="ro-MD"/>
              </w:rPr>
              <w:t>câştiguri</w:t>
            </w:r>
            <w:proofErr w:type="spellEnd"/>
            <w:r w:rsidRPr="000B038D">
              <w:rPr>
                <w:sz w:val="22"/>
                <w:szCs w:val="22"/>
                <w:lang w:val="ro-MD"/>
              </w:rPr>
              <w:t xml:space="preserve"> sau pierderi ca urmare a achitării sau perceperii </w:t>
            </w:r>
            <w:proofErr w:type="spellStart"/>
            <w:r w:rsidRPr="000B038D">
              <w:rPr>
                <w:sz w:val="22"/>
                <w:szCs w:val="22"/>
                <w:lang w:val="ro-MD"/>
              </w:rPr>
              <w:t>plăţii</w:t>
            </w:r>
            <w:proofErr w:type="spellEnd"/>
            <w:r w:rsidRPr="000B038D">
              <w:rPr>
                <w:sz w:val="22"/>
                <w:szCs w:val="22"/>
                <w:lang w:val="ro-MD"/>
              </w:rPr>
              <w:t xml:space="preserve"> pentru dezechilibru zilnic, </w:t>
            </w:r>
            <w:proofErr w:type="spellStart"/>
            <w:r w:rsidRPr="000B038D">
              <w:rPr>
                <w:sz w:val="22"/>
                <w:szCs w:val="22"/>
                <w:lang w:val="ro-MD"/>
              </w:rPr>
              <w:t>plăţii</w:t>
            </w:r>
            <w:proofErr w:type="spellEnd"/>
            <w:r w:rsidRPr="000B038D">
              <w:rPr>
                <w:sz w:val="22"/>
                <w:szCs w:val="22"/>
                <w:lang w:val="ro-MD"/>
              </w:rPr>
              <w:t xml:space="preserve"> </w:t>
            </w:r>
            <w:proofErr w:type="spellStart"/>
            <w:r w:rsidRPr="000B038D">
              <w:rPr>
                <w:sz w:val="22"/>
                <w:szCs w:val="22"/>
                <w:lang w:val="ro-MD"/>
              </w:rPr>
              <w:t>intrazilnice</w:t>
            </w:r>
            <w:proofErr w:type="spellEnd"/>
            <w:r w:rsidRPr="000B038D">
              <w:rPr>
                <w:sz w:val="22"/>
                <w:szCs w:val="22"/>
                <w:lang w:val="ro-MD"/>
              </w:rPr>
              <w:t xml:space="preserve">, </w:t>
            </w:r>
            <w:proofErr w:type="spellStart"/>
            <w:r w:rsidRPr="000B038D">
              <w:rPr>
                <w:sz w:val="22"/>
                <w:szCs w:val="22"/>
                <w:lang w:val="ro-MD"/>
              </w:rPr>
              <w:t>plăţilor</w:t>
            </w:r>
            <w:proofErr w:type="spellEnd"/>
            <w:r w:rsidRPr="000B038D">
              <w:rPr>
                <w:sz w:val="22"/>
                <w:szCs w:val="22"/>
                <w:lang w:val="ro-MD"/>
              </w:rPr>
              <w:t xml:space="preserve"> privind </w:t>
            </w:r>
            <w:proofErr w:type="spellStart"/>
            <w:r w:rsidRPr="000B038D">
              <w:rPr>
                <w:sz w:val="22"/>
                <w:szCs w:val="22"/>
                <w:lang w:val="ro-MD"/>
              </w:rPr>
              <w:t>acţiunile</w:t>
            </w:r>
            <w:proofErr w:type="spellEnd"/>
            <w:r w:rsidRPr="000B038D">
              <w:rPr>
                <w:sz w:val="22"/>
                <w:szCs w:val="22"/>
                <w:lang w:val="ro-MD"/>
              </w:rPr>
              <w:t xml:space="preserve"> de echilibrare </w:t>
            </w:r>
            <w:proofErr w:type="spellStart"/>
            <w:r w:rsidRPr="000B038D">
              <w:rPr>
                <w:sz w:val="22"/>
                <w:szCs w:val="22"/>
                <w:lang w:val="ro-MD"/>
              </w:rPr>
              <w:t>şi</w:t>
            </w:r>
            <w:proofErr w:type="spellEnd"/>
            <w:r w:rsidRPr="000B038D">
              <w:rPr>
                <w:sz w:val="22"/>
                <w:szCs w:val="22"/>
                <w:lang w:val="ro-MD"/>
              </w:rPr>
              <w:t xml:space="preserve"> de alte cheltuieli legate de </w:t>
            </w:r>
            <w:proofErr w:type="spellStart"/>
            <w:r w:rsidRPr="000B038D">
              <w:rPr>
                <w:sz w:val="22"/>
                <w:szCs w:val="22"/>
                <w:lang w:val="ro-MD"/>
              </w:rPr>
              <w:t>activităţile</w:t>
            </w:r>
            <w:proofErr w:type="spellEnd"/>
            <w:r w:rsidRPr="000B038D">
              <w:rPr>
                <w:sz w:val="22"/>
                <w:szCs w:val="22"/>
                <w:lang w:val="ro-MD"/>
              </w:rPr>
              <w:t xml:space="preserve"> de echilibrare, care reprezintă de fapt toate </w:t>
            </w:r>
            <w:proofErr w:type="spellStart"/>
            <w:r w:rsidRPr="000B038D">
              <w:rPr>
                <w:sz w:val="22"/>
                <w:szCs w:val="22"/>
                <w:lang w:val="ro-MD"/>
              </w:rPr>
              <w:t>activităţile</w:t>
            </w:r>
            <w:proofErr w:type="spellEnd"/>
            <w:r w:rsidRPr="000B038D">
              <w:rPr>
                <w:sz w:val="22"/>
                <w:szCs w:val="22"/>
                <w:lang w:val="ro-MD"/>
              </w:rPr>
              <w:t xml:space="preserve"> </w:t>
            </w:r>
            <w:proofErr w:type="spellStart"/>
            <w:r w:rsidRPr="000B038D">
              <w:rPr>
                <w:sz w:val="22"/>
                <w:szCs w:val="22"/>
                <w:lang w:val="ro-MD"/>
              </w:rPr>
              <w:t>desfăşurate</w:t>
            </w:r>
            <w:proofErr w:type="spellEnd"/>
            <w:r w:rsidRPr="000B038D">
              <w:rPr>
                <w:sz w:val="22"/>
                <w:szCs w:val="22"/>
                <w:lang w:val="ro-MD"/>
              </w:rPr>
              <w:t xml:space="preserve"> de OST în vederea îndeplinirii </w:t>
            </w:r>
            <w:proofErr w:type="spellStart"/>
            <w:r w:rsidRPr="000B038D">
              <w:rPr>
                <w:sz w:val="22"/>
                <w:szCs w:val="22"/>
                <w:lang w:val="ro-MD"/>
              </w:rPr>
              <w:t>obligaţiilor</w:t>
            </w:r>
            <w:proofErr w:type="spellEnd"/>
            <w:r w:rsidRPr="000B038D">
              <w:rPr>
                <w:sz w:val="22"/>
                <w:szCs w:val="22"/>
                <w:lang w:val="ro-MD"/>
              </w:rPr>
              <w:t xml:space="preserve"> prevăzute în Regulile pieței.</w:t>
            </w:r>
          </w:p>
        </w:tc>
        <w:tc>
          <w:tcPr>
            <w:tcW w:w="1719" w:type="pct"/>
            <w:tcBorders>
              <w:bottom w:val="single" w:sz="4" w:space="0" w:color="auto"/>
            </w:tcBorders>
            <w:vAlign w:val="center"/>
          </w:tcPr>
          <w:p w14:paraId="5B4C0BFF" w14:textId="2C8BBDB6" w:rsidR="00C94EB7" w:rsidRPr="000B038D" w:rsidRDefault="00C94EB7" w:rsidP="00C94EB7">
            <w:pPr>
              <w:jc w:val="both"/>
              <w:rPr>
                <w:sz w:val="22"/>
                <w:szCs w:val="22"/>
                <w:lang w:val="ro-RO"/>
              </w:rPr>
            </w:pPr>
            <w:r w:rsidRPr="000B038D">
              <w:rPr>
                <w:color w:val="000000" w:themeColor="text1"/>
                <w:sz w:val="22"/>
                <w:szCs w:val="22"/>
                <w:lang w:val="ro-RO"/>
              </w:rPr>
              <w:t>textul „</w:t>
            </w:r>
            <w:r w:rsidRPr="000B038D">
              <w:rPr>
                <w:i/>
                <w:color w:val="000000" w:themeColor="text1"/>
                <w:sz w:val="22"/>
                <w:szCs w:val="22"/>
                <w:lang w:val="ro-RO"/>
              </w:rPr>
              <w:t>Regulile pieței</w:t>
            </w:r>
            <w:r w:rsidRPr="000B038D">
              <w:rPr>
                <w:color w:val="000000" w:themeColor="text1"/>
                <w:sz w:val="22"/>
                <w:szCs w:val="22"/>
                <w:lang w:val="ro-RO"/>
              </w:rPr>
              <w:t>” se va substitui cu textul „</w:t>
            </w:r>
            <w:r w:rsidRPr="000B038D">
              <w:rPr>
                <w:i/>
                <w:color w:val="000000" w:themeColor="text1"/>
                <w:sz w:val="22"/>
                <w:szCs w:val="22"/>
                <w:lang w:val="ro-RO"/>
              </w:rPr>
              <w:t>Codul rețelelor de gaze naturale și în Regulile pieței gazelor naturale, aprobate prin Hotărârea Consiliului de administrație al ANRE nr. 534/2019 (în continuare - Regulile pieței)</w:t>
            </w:r>
            <w:r w:rsidRPr="000B038D">
              <w:rPr>
                <w:color w:val="000000" w:themeColor="text1"/>
                <w:sz w:val="22"/>
                <w:szCs w:val="22"/>
                <w:lang w:val="ro-RO"/>
              </w:rPr>
              <w:t>”.</w:t>
            </w:r>
          </w:p>
        </w:tc>
        <w:tc>
          <w:tcPr>
            <w:cnfStyle w:val="000100000000" w:firstRow="0" w:lastRow="0" w:firstColumn="0" w:lastColumn="1" w:oddVBand="0" w:evenVBand="0" w:oddHBand="0" w:evenHBand="0" w:firstRowFirstColumn="0" w:firstRowLastColumn="0" w:lastRowFirstColumn="0" w:lastRowLastColumn="0"/>
            <w:tcW w:w="1042" w:type="pct"/>
            <w:tcBorders>
              <w:bottom w:val="single" w:sz="4" w:space="0" w:color="auto"/>
            </w:tcBorders>
            <w:vAlign w:val="center"/>
          </w:tcPr>
          <w:p w14:paraId="0F7519BF" w14:textId="0E3B014A" w:rsidR="00C94EB7" w:rsidRPr="0000098F" w:rsidRDefault="00960D7F" w:rsidP="00960D7F">
            <w:pPr>
              <w:rPr>
                <w:sz w:val="22"/>
                <w:szCs w:val="22"/>
                <w:lang w:val="ro-RO"/>
              </w:rPr>
            </w:pPr>
            <w:r w:rsidRPr="0000098F">
              <w:rPr>
                <w:sz w:val="22"/>
                <w:szCs w:val="22"/>
                <w:lang w:val="ro-RO"/>
              </w:rPr>
              <w:t>Se acceptă</w:t>
            </w:r>
            <w:r w:rsidR="00320CA4">
              <w:rPr>
                <w:sz w:val="22"/>
                <w:szCs w:val="22"/>
                <w:lang w:val="ro-RO"/>
              </w:rPr>
              <w:t>.</w:t>
            </w:r>
          </w:p>
        </w:tc>
      </w:tr>
      <w:tr w:rsidR="004F472D" w:rsidRPr="00B3091C" w14:paraId="5A9BEA88" w14:textId="77777777" w:rsidTr="006C7A87">
        <w:trPr>
          <w:trHeight w:val="841"/>
        </w:trPr>
        <w:tc>
          <w:tcPr>
            <w:tcW w:w="327" w:type="pct"/>
            <w:vAlign w:val="center"/>
          </w:tcPr>
          <w:p w14:paraId="103B8809" w14:textId="354F814C" w:rsidR="004F472D" w:rsidRPr="000B038D" w:rsidRDefault="004F472D" w:rsidP="002E4DBD">
            <w:pPr>
              <w:jc w:val="center"/>
              <w:rPr>
                <w:sz w:val="22"/>
                <w:szCs w:val="22"/>
                <w:lang w:val="ro-RO"/>
              </w:rPr>
            </w:pPr>
            <w:r w:rsidRPr="000B038D">
              <w:rPr>
                <w:sz w:val="22"/>
                <w:szCs w:val="22"/>
                <w:lang w:val="ro-RO"/>
              </w:rPr>
              <w:t>Pct.</w:t>
            </w:r>
            <w:r w:rsidR="002E4DBD" w:rsidRPr="000B038D">
              <w:rPr>
                <w:sz w:val="22"/>
                <w:szCs w:val="22"/>
                <w:lang w:val="ro-RO"/>
              </w:rPr>
              <w:t xml:space="preserve"> 6</w:t>
            </w:r>
          </w:p>
        </w:tc>
        <w:tc>
          <w:tcPr>
            <w:tcW w:w="602" w:type="pct"/>
            <w:vAlign w:val="center"/>
          </w:tcPr>
          <w:p w14:paraId="56DE8A40" w14:textId="09EB25CB" w:rsidR="004F472D" w:rsidRPr="000B038D" w:rsidRDefault="002E4DBD" w:rsidP="00CF58CB">
            <w:pPr>
              <w:jc w:val="center"/>
              <w:rPr>
                <w:sz w:val="22"/>
                <w:szCs w:val="22"/>
                <w:lang w:val="it-IT"/>
              </w:rPr>
            </w:pPr>
            <w:r w:rsidRPr="000B038D">
              <w:rPr>
                <w:sz w:val="22"/>
                <w:szCs w:val="22"/>
                <w:lang w:val="ro-RO"/>
              </w:rPr>
              <w:t xml:space="preserve">SA </w:t>
            </w:r>
            <w:r w:rsidR="00F459CF">
              <w:rPr>
                <w:sz w:val="22"/>
                <w:szCs w:val="22"/>
                <w:lang w:val="ro-RO"/>
              </w:rPr>
              <w:t>„</w:t>
            </w:r>
            <w:proofErr w:type="spellStart"/>
            <w:r w:rsidRPr="000B038D">
              <w:rPr>
                <w:sz w:val="22"/>
                <w:szCs w:val="22"/>
                <w:lang w:val="ro-RO"/>
              </w:rPr>
              <w:t>Energocom</w:t>
            </w:r>
            <w:proofErr w:type="spellEnd"/>
            <w:r w:rsidR="00F459CF">
              <w:rPr>
                <w:sz w:val="22"/>
                <w:szCs w:val="22"/>
                <w:lang w:val="ro-RO"/>
              </w:rPr>
              <w:t>”</w:t>
            </w:r>
            <w:r w:rsidRPr="000B038D">
              <w:rPr>
                <w:sz w:val="22"/>
                <w:szCs w:val="22"/>
                <w:lang w:val="ro-RO"/>
              </w:rPr>
              <w:t xml:space="preserve"> </w:t>
            </w:r>
            <w:r w:rsidR="00F459CF">
              <w:rPr>
                <w:sz w:val="22"/>
                <w:szCs w:val="22"/>
                <w:lang w:val="ro-RO"/>
              </w:rPr>
              <w:t xml:space="preserve">nr. </w:t>
            </w:r>
            <w:r w:rsidRPr="000B038D">
              <w:rPr>
                <w:sz w:val="22"/>
                <w:szCs w:val="22"/>
                <w:lang w:val="ro-RO"/>
              </w:rPr>
              <w:t xml:space="preserve">11/24-2942 </w:t>
            </w:r>
            <w:r w:rsidR="00CF58CB" w:rsidRPr="000B038D">
              <w:rPr>
                <w:sz w:val="22"/>
                <w:szCs w:val="22"/>
                <w:lang w:val="ro-RO"/>
              </w:rPr>
              <w:t>din</w:t>
            </w:r>
            <w:r w:rsidRPr="000B038D">
              <w:rPr>
                <w:sz w:val="22"/>
                <w:szCs w:val="22"/>
                <w:lang w:val="ro-RO"/>
              </w:rPr>
              <w:t xml:space="preserve"> 03</w:t>
            </w:r>
            <w:r w:rsidR="00D55A75" w:rsidRPr="000B038D">
              <w:rPr>
                <w:sz w:val="22"/>
                <w:szCs w:val="22"/>
                <w:lang w:val="ro-RO"/>
              </w:rPr>
              <w:t>.</w:t>
            </w:r>
            <w:r w:rsidRPr="000B038D">
              <w:rPr>
                <w:sz w:val="22"/>
                <w:szCs w:val="22"/>
                <w:lang w:val="ro-RO"/>
              </w:rPr>
              <w:t>0</w:t>
            </w:r>
            <w:r w:rsidR="00CF58CB" w:rsidRPr="000B038D">
              <w:rPr>
                <w:sz w:val="22"/>
                <w:szCs w:val="22"/>
                <w:lang w:val="ro-RO"/>
              </w:rPr>
              <w:t>9.</w:t>
            </w:r>
            <w:r w:rsidR="004F472D" w:rsidRPr="000B038D">
              <w:rPr>
                <w:sz w:val="22"/>
                <w:szCs w:val="22"/>
                <w:lang w:val="ro-RO"/>
              </w:rPr>
              <w:t>2024</w:t>
            </w:r>
          </w:p>
        </w:tc>
        <w:tc>
          <w:tcPr>
            <w:tcW w:w="1309" w:type="pct"/>
          </w:tcPr>
          <w:p w14:paraId="326A8FF1" w14:textId="0EC0EAD4" w:rsidR="004F472D" w:rsidRPr="000B038D" w:rsidRDefault="00E06D60" w:rsidP="00D879B0">
            <w:pPr>
              <w:jc w:val="both"/>
              <w:rPr>
                <w:sz w:val="22"/>
                <w:szCs w:val="22"/>
                <w:lang w:val="it-IT"/>
              </w:rPr>
            </w:pPr>
            <w:r w:rsidRPr="000B038D">
              <w:rPr>
                <w:sz w:val="22"/>
                <w:szCs w:val="22"/>
                <w:lang w:val="ro-MD"/>
              </w:rPr>
              <w:t>Plata de neutralitate include doar costurile și veniturile care decurg direct din acțiunile de echilibrare efectuate de OST</w:t>
            </w:r>
          </w:p>
        </w:tc>
        <w:tc>
          <w:tcPr>
            <w:tcW w:w="1719" w:type="pct"/>
            <w:shd w:val="clear" w:color="auto" w:fill="auto"/>
          </w:tcPr>
          <w:p w14:paraId="233E2AD7" w14:textId="7DC22804" w:rsidR="004F472D" w:rsidRPr="000B038D" w:rsidRDefault="002E4DBD" w:rsidP="00924A85">
            <w:pPr>
              <w:jc w:val="both"/>
              <w:rPr>
                <w:sz w:val="22"/>
                <w:szCs w:val="22"/>
                <w:lang w:val="it-IT"/>
              </w:rPr>
            </w:pPr>
            <w:proofErr w:type="spellStart"/>
            <w:r w:rsidRPr="000B038D">
              <w:rPr>
                <w:sz w:val="22"/>
                <w:szCs w:val="22"/>
                <w:lang w:val="it-IT"/>
              </w:rPr>
              <w:t>Pct</w:t>
            </w:r>
            <w:proofErr w:type="spellEnd"/>
            <w:r w:rsidRPr="000B038D">
              <w:rPr>
                <w:sz w:val="22"/>
                <w:szCs w:val="22"/>
                <w:lang w:val="it-IT"/>
              </w:rPr>
              <w:t>.</w:t>
            </w:r>
            <w:r w:rsidR="00F459CF">
              <w:rPr>
                <w:sz w:val="22"/>
                <w:szCs w:val="22"/>
                <w:lang w:val="it-IT"/>
              </w:rPr>
              <w:t xml:space="preserve"> </w:t>
            </w:r>
            <w:r w:rsidRPr="000B038D">
              <w:rPr>
                <w:sz w:val="22"/>
                <w:szCs w:val="22"/>
                <w:lang w:val="it-IT"/>
              </w:rPr>
              <w:t xml:space="preserve">6 al </w:t>
            </w:r>
            <w:proofErr w:type="spellStart"/>
            <w:r w:rsidRPr="000B038D">
              <w:rPr>
                <w:sz w:val="22"/>
                <w:szCs w:val="22"/>
                <w:lang w:val="it-IT"/>
              </w:rPr>
              <w:t>proiectului</w:t>
            </w:r>
            <w:proofErr w:type="spellEnd"/>
            <w:r w:rsidRPr="000B038D">
              <w:rPr>
                <w:sz w:val="22"/>
                <w:szCs w:val="22"/>
                <w:lang w:val="it-IT"/>
              </w:rPr>
              <w:t xml:space="preserve"> </w:t>
            </w:r>
            <w:proofErr w:type="spellStart"/>
            <w:r w:rsidRPr="000B038D">
              <w:rPr>
                <w:sz w:val="22"/>
                <w:szCs w:val="22"/>
                <w:lang w:val="it-IT"/>
              </w:rPr>
              <w:t>Metodei</w:t>
            </w:r>
            <w:proofErr w:type="spellEnd"/>
            <w:r w:rsidRPr="000B038D">
              <w:rPr>
                <w:sz w:val="22"/>
                <w:szCs w:val="22"/>
                <w:lang w:val="it-IT"/>
              </w:rPr>
              <w:t xml:space="preserve"> </w:t>
            </w:r>
            <w:proofErr w:type="spellStart"/>
            <w:r w:rsidRPr="000B038D">
              <w:rPr>
                <w:sz w:val="22"/>
                <w:szCs w:val="22"/>
                <w:lang w:val="it-IT"/>
              </w:rPr>
              <w:t>relevă</w:t>
            </w:r>
            <w:proofErr w:type="spellEnd"/>
            <w:r w:rsidRPr="000B038D">
              <w:rPr>
                <w:sz w:val="22"/>
                <w:szCs w:val="22"/>
                <w:lang w:val="it-IT"/>
              </w:rPr>
              <w:t xml:space="preserve"> </w:t>
            </w:r>
            <w:proofErr w:type="spellStart"/>
            <w:r w:rsidRPr="000B038D">
              <w:rPr>
                <w:sz w:val="22"/>
                <w:szCs w:val="22"/>
                <w:lang w:val="it-IT"/>
              </w:rPr>
              <w:t>că</w:t>
            </w:r>
            <w:proofErr w:type="spellEnd"/>
            <w:r w:rsidRPr="000B038D">
              <w:rPr>
                <w:sz w:val="22"/>
                <w:szCs w:val="22"/>
                <w:lang w:val="it-IT"/>
              </w:rPr>
              <w:t xml:space="preserve"> </w:t>
            </w:r>
            <w:proofErr w:type="spellStart"/>
            <w:r w:rsidRPr="000B038D">
              <w:rPr>
                <w:sz w:val="22"/>
                <w:szCs w:val="22"/>
                <w:lang w:val="it-IT"/>
              </w:rPr>
              <w:t>plata</w:t>
            </w:r>
            <w:proofErr w:type="spellEnd"/>
            <w:r w:rsidRPr="000B038D">
              <w:rPr>
                <w:sz w:val="22"/>
                <w:szCs w:val="22"/>
                <w:lang w:val="it-IT"/>
              </w:rPr>
              <w:t xml:space="preserve"> de </w:t>
            </w:r>
            <w:proofErr w:type="spellStart"/>
            <w:r w:rsidRPr="000B038D">
              <w:rPr>
                <w:sz w:val="22"/>
                <w:szCs w:val="22"/>
                <w:lang w:val="it-IT"/>
              </w:rPr>
              <w:t>neutralitate</w:t>
            </w:r>
            <w:proofErr w:type="spellEnd"/>
            <w:r w:rsidRPr="000B038D">
              <w:rPr>
                <w:sz w:val="22"/>
                <w:szCs w:val="22"/>
                <w:lang w:val="it-IT"/>
              </w:rPr>
              <w:t xml:space="preserve"> include </w:t>
            </w:r>
            <w:proofErr w:type="spellStart"/>
            <w:r w:rsidRPr="000B038D">
              <w:rPr>
                <w:sz w:val="22"/>
                <w:szCs w:val="22"/>
                <w:lang w:val="it-IT"/>
              </w:rPr>
              <w:t>doar</w:t>
            </w:r>
            <w:proofErr w:type="spellEnd"/>
            <w:r w:rsidRPr="000B038D">
              <w:rPr>
                <w:sz w:val="22"/>
                <w:szCs w:val="22"/>
                <w:lang w:val="it-IT"/>
              </w:rPr>
              <w:t xml:space="preserve"> </w:t>
            </w:r>
            <w:proofErr w:type="spellStart"/>
            <w:r w:rsidRPr="000B038D">
              <w:rPr>
                <w:sz w:val="22"/>
                <w:szCs w:val="22"/>
                <w:lang w:val="it-IT"/>
              </w:rPr>
              <w:t>costurile</w:t>
            </w:r>
            <w:proofErr w:type="spellEnd"/>
            <w:r w:rsidRPr="000B038D">
              <w:rPr>
                <w:sz w:val="22"/>
                <w:szCs w:val="22"/>
                <w:lang w:val="it-IT"/>
              </w:rPr>
              <w:t xml:space="preserve"> </w:t>
            </w:r>
            <w:proofErr w:type="spellStart"/>
            <w:r w:rsidRPr="000B038D">
              <w:rPr>
                <w:sz w:val="22"/>
                <w:szCs w:val="22"/>
                <w:lang w:val="it-IT"/>
              </w:rPr>
              <w:t>și</w:t>
            </w:r>
            <w:proofErr w:type="spellEnd"/>
            <w:r w:rsidRPr="000B038D">
              <w:rPr>
                <w:sz w:val="22"/>
                <w:szCs w:val="22"/>
                <w:lang w:val="it-IT"/>
              </w:rPr>
              <w:t xml:space="preserve"> </w:t>
            </w:r>
            <w:proofErr w:type="spellStart"/>
            <w:r w:rsidRPr="000B038D">
              <w:rPr>
                <w:sz w:val="22"/>
                <w:szCs w:val="22"/>
                <w:lang w:val="it-IT"/>
              </w:rPr>
              <w:t>veniturile</w:t>
            </w:r>
            <w:proofErr w:type="spellEnd"/>
            <w:r w:rsidRPr="000B038D">
              <w:rPr>
                <w:sz w:val="22"/>
                <w:szCs w:val="22"/>
                <w:lang w:val="it-IT"/>
              </w:rPr>
              <w:t xml:space="preserve"> care </w:t>
            </w:r>
            <w:proofErr w:type="spellStart"/>
            <w:r w:rsidRPr="000B038D">
              <w:rPr>
                <w:sz w:val="22"/>
                <w:szCs w:val="22"/>
                <w:lang w:val="it-IT"/>
              </w:rPr>
              <w:t>decurg</w:t>
            </w:r>
            <w:proofErr w:type="spellEnd"/>
            <w:r w:rsidRPr="000B038D">
              <w:rPr>
                <w:sz w:val="22"/>
                <w:szCs w:val="22"/>
                <w:lang w:val="it-IT"/>
              </w:rPr>
              <w:t xml:space="preserve"> </w:t>
            </w:r>
            <w:proofErr w:type="spellStart"/>
            <w:r w:rsidRPr="000B038D">
              <w:rPr>
                <w:sz w:val="22"/>
                <w:szCs w:val="22"/>
                <w:lang w:val="it-IT"/>
              </w:rPr>
              <w:t>direct</w:t>
            </w:r>
            <w:proofErr w:type="spellEnd"/>
            <w:r w:rsidRPr="000B038D">
              <w:rPr>
                <w:sz w:val="22"/>
                <w:szCs w:val="22"/>
                <w:lang w:val="it-IT"/>
              </w:rPr>
              <w:t xml:space="preserve"> </w:t>
            </w:r>
            <w:proofErr w:type="spellStart"/>
            <w:r w:rsidRPr="000B038D">
              <w:rPr>
                <w:sz w:val="22"/>
                <w:szCs w:val="22"/>
                <w:lang w:val="it-IT"/>
              </w:rPr>
              <w:t>din</w:t>
            </w:r>
            <w:proofErr w:type="spellEnd"/>
            <w:r w:rsidRPr="000B038D">
              <w:rPr>
                <w:sz w:val="22"/>
                <w:szCs w:val="22"/>
                <w:lang w:val="it-IT"/>
              </w:rPr>
              <w:t xml:space="preserve"> </w:t>
            </w:r>
            <w:proofErr w:type="spellStart"/>
            <w:r w:rsidRPr="000B038D">
              <w:rPr>
                <w:sz w:val="22"/>
                <w:szCs w:val="22"/>
                <w:lang w:val="it-IT"/>
              </w:rPr>
              <w:t>acțiunile</w:t>
            </w:r>
            <w:proofErr w:type="spellEnd"/>
            <w:r w:rsidRPr="000B038D">
              <w:rPr>
                <w:sz w:val="22"/>
                <w:szCs w:val="22"/>
                <w:lang w:val="it-IT"/>
              </w:rPr>
              <w:t xml:space="preserve"> de echilibrare </w:t>
            </w:r>
            <w:proofErr w:type="spellStart"/>
            <w:r w:rsidRPr="000B038D">
              <w:rPr>
                <w:sz w:val="22"/>
                <w:szCs w:val="22"/>
                <w:lang w:val="it-IT"/>
              </w:rPr>
              <w:t>efectuate</w:t>
            </w:r>
            <w:proofErr w:type="spellEnd"/>
            <w:r w:rsidRPr="000B038D">
              <w:rPr>
                <w:sz w:val="22"/>
                <w:szCs w:val="22"/>
                <w:lang w:val="it-IT"/>
              </w:rPr>
              <w:t xml:space="preserve"> de OST. Cu </w:t>
            </w:r>
            <w:proofErr w:type="spellStart"/>
            <w:r w:rsidRPr="000B038D">
              <w:rPr>
                <w:sz w:val="22"/>
                <w:szCs w:val="22"/>
                <w:lang w:val="it-IT"/>
              </w:rPr>
              <w:t>toate</w:t>
            </w:r>
            <w:proofErr w:type="spellEnd"/>
            <w:r w:rsidRPr="000B038D">
              <w:rPr>
                <w:sz w:val="22"/>
                <w:szCs w:val="22"/>
                <w:lang w:val="it-IT"/>
              </w:rPr>
              <w:t xml:space="preserve"> </w:t>
            </w:r>
            <w:proofErr w:type="spellStart"/>
            <w:r w:rsidRPr="000B038D">
              <w:rPr>
                <w:sz w:val="22"/>
                <w:szCs w:val="22"/>
                <w:lang w:val="it-IT"/>
              </w:rPr>
              <w:t>acestea</w:t>
            </w:r>
            <w:proofErr w:type="spellEnd"/>
            <w:r w:rsidRPr="000B038D">
              <w:rPr>
                <w:sz w:val="22"/>
                <w:szCs w:val="22"/>
                <w:lang w:val="it-IT"/>
              </w:rPr>
              <w:t xml:space="preserve">, pct.7.4) al </w:t>
            </w:r>
            <w:proofErr w:type="spellStart"/>
            <w:r w:rsidRPr="000B038D">
              <w:rPr>
                <w:sz w:val="22"/>
                <w:szCs w:val="22"/>
                <w:lang w:val="it-IT"/>
              </w:rPr>
              <w:t>Metodei</w:t>
            </w:r>
            <w:proofErr w:type="spellEnd"/>
            <w:r w:rsidRPr="000B038D">
              <w:rPr>
                <w:sz w:val="22"/>
                <w:szCs w:val="22"/>
                <w:lang w:val="it-IT"/>
              </w:rPr>
              <w:t xml:space="preserve"> prevede </w:t>
            </w:r>
            <w:proofErr w:type="spellStart"/>
            <w:r w:rsidRPr="000B038D">
              <w:rPr>
                <w:sz w:val="22"/>
                <w:szCs w:val="22"/>
                <w:lang w:val="it-IT"/>
              </w:rPr>
              <w:t>că</w:t>
            </w:r>
            <w:proofErr w:type="spellEnd"/>
            <w:r w:rsidRPr="000B038D">
              <w:rPr>
                <w:sz w:val="22"/>
                <w:szCs w:val="22"/>
                <w:lang w:val="it-IT"/>
              </w:rPr>
              <w:t xml:space="preserve"> </w:t>
            </w:r>
            <w:proofErr w:type="spellStart"/>
            <w:r w:rsidRPr="000B038D">
              <w:rPr>
                <w:sz w:val="22"/>
                <w:szCs w:val="22"/>
                <w:lang w:val="it-IT"/>
              </w:rPr>
              <w:t>plata</w:t>
            </w:r>
            <w:proofErr w:type="spellEnd"/>
            <w:r w:rsidRPr="000B038D">
              <w:rPr>
                <w:sz w:val="22"/>
                <w:szCs w:val="22"/>
                <w:lang w:val="it-IT"/>
              </w:rPr>
              <w:t xml:space="preserve"> </w:t>
            </w:r>
            <w:proofErr w:type="spellStart"/>
            <w:r w:rsidRPr="000B038D">
              <w:rPr>
                <w:sz w:val="22"/>
                <w:szCs w:val="22"/>
                <w:lang w:val="it-IT"/>
              </w:rPr>
              <w:t>pentru</w:t>
            </w:r>
            <w:proofErr w:type="spellEnd"/>
            <w:r w:rsidRPr="000B038D">
              <w:rPr>
                <w:sz w:val="22"/>
                <w:szCs w:val="22"/>
                <w:lang w:val="it-IT"/>
              </w:rPr>
              <w:t xml:space="preserve"> </w:t>
            </w:r>
            <w:proofErr w:type="spellStart"/>
            <w:r w:rsidRPr="000B038D">
              <w:rPr>
                <w:sz w:val="22"/>
                <w:szCs w:val="22"/>
                <w:lang w:val="it-IT"/>
              </w:rPr>
              <w:t>neutralitate</w:t>
            </w:r>
            <w:proofErr w:type="spellEnd"/>
            <w:r w:rsidRPr="000B038D">
              <w:rPr>
                <w:sz w:val="22"/>
                <w:szCs w:val="22"/>
                <w:lang w:val="it-IT"/>
              </w:rPr>
              <w:t xml:space="preserve"> </w:t>
            </w:r>
            <w:proofErr w:type="spellStart"/>
            <w:r w:rsidRPr="000B038D">
              <w:rPr>
                <w:sz w:val="22"/>
                <w:szCs w:val="22"/>
                <w:lang w:val="it-IT"/>
              </w:rPr>
              <w:t>poate</w:t>
            </w:r>
            <w:proofErr w:type="spellEnd"/>
            <w:r w:rsidRPr="000B038D">
              <w:rPr>
                <w:sz w:val="22"/>
                <w:szCs w:val="22"/>
                <w:lang w:val="it-IT"/>
              </w:rPr>
              <w:t xml:space="preserve"> include </w:t>
            </w:r>
            <w:proofErr w:type="spellStart"/>
            <w:r w:rsidRPr="000B038D">
              <w:rPr>
                <w:sz w:val="22"/>
                <w:szCs w:val="22"/>
                <w:lang w:val="it-IT"/>
              </w:rPr>
              <w:t>și</w:t>
            </w:r>
            <w:proofErr w:type="spellEnd"/>
            <w:r w:rsidRPr="000B038D">
              <w:rPr>
                <w:sz w:val="22"/>
                <w:szCs w:val="22"/>
                <w:lang w:val="it-IT"/>
              </w:rPr>
              <w:t xml:space="preserve"> alte </w:t>
            </w:r>
            <w:proofErr w:type="spellStart"/>
            <w:r w:rsidRPr="000B038D">
              <w:rPr>
                <w:sz w:val="22"/>
                <w:szCs w:val="22"/>
                <w:lang w:val="it-IT"/>
              </w:rPr>
              <w:t>costuri</w:t>
            </w:r>
            <w:proofErr w:type="spellEnd"/>
            <w:r w:rsidRPr="000B038D">
              <w:rPr>
                <w:sz w:val="22"/>
                <w:szCs w:val="22"/>
                <w:lang w:val="it-IT"/>
              </w:rPr>
              <w:t xml:space="preserve"> legate de </w:t>
            </w:r>
            <w:proofErr w:type="spellStart"/>
            <w:r w:rsidRPr="000B038D">
              <w:rPr>
                <w:sz w:val="22"/>
                <w:szCs w:val="22"/>
                <w:lang w:val="it-IT"/>
              </w:rPr>
              <w:t>activitatea</w:t>
            </w:r>
            <w:proofErr w:type="spellEnd"/>
            <w:r w:rsidRPr="000B038D">
              <w:rPr>
                <w:sz w:val="22"/>
                <w:szCs w:val="22"/>
                <w:lang w:val="it-IT"/>
              </w:rPr>
              <w:t xml:space="preserve"> de echilibrare, </w:t>
            </w:r>
            <w:proofErr w:type="spellStart"/>
            <w:r w:rsidRPr="000B038D">
              <w:rPr>
                <w:sz w:val="22"/>
                <w:szCs w:val="22"/>
                <w:lang w:val="it-IT"/>
              </w:rPr>
              <w:t>precum</w:t>
            </w:r>
            <w:proofErr w:type="spellEnd"/>
            <w:r w:rsidRPr="000B038D">
              <w:rPr>
                <w:sz w:val="22"/>
                <w:szCs w:val="22"/>
                <w:lang w:val="it-IT"/>
              </w:rPr>
              <w:t xml:space="preserve">: a) </w:t>
            </w:r>
            <w:proofErr w:type="spellStart"/>
            <w:r w:rsidRPr="000B038D">
              <w:rPr>
                <w:sz w:val="22"/>
                <w:szCs w:val="22"/>
                <w:lang w:val="it-IT"/>
              </w:rPr>
              <w:t>cheltuielile</w:t>
            </w:r>
            <w:proofErr w:type="spellEnd"/>
            <w:r w:rsidRPr="000B038D">
              <w:rPr>
                <w:sz w:val="22"/>
                <w:szCs w:val="22"/>
                <w:lang w:val="it-IT"/>
              </w:rPr>
              <w:t xml:space="preserve"> </w:t>
            </w:r>
            <w:proofErr w:type="spellStart"/>
            <w:r w:rsidRPr="000B038D">
              <w:rPr>
                <w:sz w:val="22"/>
                <w:szCs w:val="22"/>
                <w:lang w:val="it-IT"/>
              </w:rPr>
              <w:t>pentru</w:t>
            </w:r>
            <w:proofErr w:type="spellEnd"/>
            <w:r w:rsidRPr="000B038D">
              <w:rPr>
                <w:sz w:val="22"/>
                <w:szCs w:val="22"/>
                <w:lang w:val="it-IT"/>
              </w:rPr>
              <w:t xml:space="preserve"> </w:t>
            </w:r>
            <w:proofErr w:type="spellStart"/>
            <w:r w:rsidRPr="000B038D">
              <w:rPr>
                <w:sz w:val="22"/>
                <w:szCs w:val="22"/>
                <w:lang w:val="it-IT"/>
              </w:rPr>
              <w:t>dezvoltarea</w:t>
            </w:r>
            <w:proofErr w:type="spellEnd"/>
            <w:r w:rsidRPr="000B038D">
              <w:rPr>
                <w:sz w:val="22"/>
                <w:szCs w:val="22"/>
                <w:lang w:val="it-IT"/>
              </w:rPr>
              <w:t xml:space="preserve"> </w:t>
            </w:r>
            <w:proofErr w:type="spellStart"/>
            <w:r w:rsidRPr="000B038D">
              <w:rPr>
                <w:sz w:val="22"/>
                <w:szCs w:val="22"/>
                <w:lang w:val="it-IT"/>
              </w:rPr>
              <w:t>și</w:t>
            </w:r>
            <w:proofErr w:type="spellEnd"/>
            <w:r w:rsidRPr="000B038D">
              <w:rPr>
                <w:sz w:val="22"/>
                <w:szCs w:val="22"/>
                <w:lang w:val="it-IT"/>
              </w:rPr>
              <w:t xml:space="preserve"> </w:t>
            </w:r>
            <w:proofErr w:type="spellStart"/>
            <w:r w:rsidRPr="000B038D">
              <w:rPr>
                <w:sz w:val="22"/>
                <w:szCs w:val="22"/>
                <w:lang w:val="it-IT"/>
              </w:rPr>
              <w:t>menținerea</w:t>
            </w:r>
            <w:proofErr w:type="spellEnd"/>
            <w:r w:rsidRPr="000B038D">
              <w:rPr>
                <w:sz w:val="22"/>
                <w:szCs w:val="22"/>
                <w:lang w:val="it-IT"/>
              </w:rPr>
              <w:t xml:space="preserve"> </w:t>
            </w:r>
            <w:proofErr w:type="spellStart"/>
            <w:r w:rsidRPr="000B038D">
              <w:rPr>
                <w:sz w:val="22"/>
                <w:szCs w:val="22"/>
                <w:lang w:val="it-IT"/>
              </w:rPr>
              <w:t>unei</w:t>
            </w:r>
            <w:proofErr w:type="spellEnd"/>
            <w:r w:rsidRPr="000B038D">
              <w:rPr>
                <w:sz w:val="22"/>
                <w:szCs w:val="22"/>
                <w:lang w:val="it-IT"/>
              </w:rPr>
              <w:t xml:space="preserve"> </w:t>
            </w:r>
            <w:proofErr w:type="spellStart"/>
            <w:r w:rsidRPr="000B038D">
              <w:rPr>
                <w:sz w:val="22"/>
                <w:szCs w:val="22"/>
                <w:lang w:val="it-IT"/>
              </w:rPr>
              <w:t>platforme</w:t>
            </w:r>
            <w:proofErr w:type="spellEnd"/>
            <w:r w:rsidRPr="000B038D">
              <w:rPr>
                <w:sz w:val="22"/>
                <w:szCs w:val="22"/>
                <w:lang w:val="it-IT"/>
              </w:rPr>
              <w:t xml:space="preserve"> de echilibrare; b) </w:t>
            </w:r>
            <w:proofErr w:type="spellStart"/>
            <w:r w:rsidRPr="000B038D">
              <w:rPr>
                <w:sz w:val="22"/>
                <w:szCs w:val="22"/>
                <w:lang w:val="it-IT"/>
              </w:rPr>
              <w:t>cheltuielile</w:t>
            </w:r>
            <w:proofErr w:type="spellEnd"/>
            <w:r w:rsidRPr="000B038D">
              <w:rPr>
                <w:sz w:val="22"/>
                <w:szCs w:val="22"/>
                <w:lang w:val="it-IT"/>
              </w:rPr>
              <w:t xml:space="preserve"> </w:t>
            </w:r>
            <w:proofErr w:type="spellStart"/>
            <w:r w:rsidRPr="000B038D">
              <w:rPr>
                <w:sz w:val="22"/>
                <w:szCs w:val="22"/>
                <w:lang w:val="it-IT"/>
              </w:rPr>
              <w:t>accesării</w:t>
            </w:r>
            <w:proofErr w:type="spellEnd"/>
            <w:r w:rsidRPr="000B038D">
              <w:rPr>
                <w:sz w:val="22"/>
                <w:szCs w:val="22"/>
                <w:lang w:val="it-IT"/>
              </w:rPr>
              <w:t xml:space="preserve"> </w:t>
            </w:r>
            <w:proofErr w:type="spellStart"/>
            <w:r w:rsidRPr="000B038D">
              <w:rPr>
                <w:sz w:val="22"/>
                <w:szCs w:val="22"/>
                <w:lang w:val="it-IT"/>
              </w:rPr>
              <w:t>platformelor</w:t>
            </w:r>
            <w:proofErr w:type="spellEnd"/>
            <w:r w:rsidRPr="000B038D">
              <w:rPr>
                <w:sz w:val="22"/>
                <w:szCs w:val="22"/>
                <w:lang w:val="it-IT"/>
              </w:rPr>
              <w:t xml:space="preserve"> de </w:t>
            </w:r>
            <w:proofErr w:type="spellStart"/>
            <w:r w:rsidRPr="000B038D">
              <w:rPr>
                <w:sz w:val="22"/>
                <w:szCs w:val="22"/>
                <w:lang w:val="it-IT"/>
              </w:rPr>
              <w:t>tranzacționare</w:t>
            </w:r>
            <w:proofErr w:type="spellEnd"/>
            <w:r w:rsidRPr="000B038D">
              <w:rPr>
                <w:sz w:val="22"/>
                <w:szCs w:val="22"/>
                <w:lang w:val="it-IT"/>
              </w:rPr>
              <w:t xml:space="preserve"> </w:t>
            </w:r>
            <w:proofErr w:type="spellStart"/>
            <w:r w:rsidRPr="000B038D">
              <w:rPr>
                <w:sz w:val="22"/>
                <w:szCs w:val="22"/>
                <w:lang w:val="it-IT"/>
              </w:rPr>
              <w:t>unde</w:t>
            </w:r>
            <w:proofErr w:type="spellEnd"/>
            <w:r w:rsidRPr="000B038D">
              <w:rPr>
                <w:sz w:val="22"/>
                <w:szCs w:val="22"/>
                <w:lang w:val="it-IT"/>
              </w:rPr>
              <w:t xml:space="preserve"> OST </w:t>
            </w:r>
            <w:proofErr w:type="spellStart"/>
            <w:r w:rsidRPr="000B038D">
              <w:rPr>
                <w:sz w:val="22"/>
                <w:szCs w:val="22"/>
                <w:lang w:val="it-IT"/>
              </w:rPr>
              <w:t>efectuează</w:t>
            </w:r>
            <w:proofErr w:type="spellEnd"/>
            <w:r w:rsidRPr="000B038D">
              <w:rPr>
                <w:sz w:val="22"/>
                <w:szCs w:val="22"/>
                <w:lang w:val="it-IT"/>
              </w:rPr>
              <w:t xml:space="preserve"> </w:t>
            </w:r>
            <w:proofErr w:type="spellStart"/>
            <w:r w:rsidRPr="000B038D">
              <w:rPr>
                <w:sz w:val="22"/>
                <w:szCs w:val="22"/>
                <w:lang w:val="it-IT"/>
              </w:rPr>
              <w:t>acțiuni</w:t>
            </w:r>
            <w:proofErr w:type="spellEnd"/>
            <w:r w:rsidRPr="000B038D">
              <w:rPr>
                <w:sz w:val="22"/>
                <w:szCs w:val="22"/>
                <w:lang w:val="it-IT"/>
              </w:rPr>
              <w:t xml:space="preserve"> de echilibrare; c) </w:t>
            </w:r>
            <w:proofErr w:type="spellStart"/>
            <w:r w:rsidRPr="000B038D">
              <w:rPr>
                <w:sz w:val="22"/>
                <w:szCs w:val="22"/>
                <w:lang w:val="it-IT"/>
              </w:rPr>
              <w:t>cheltuielile</w:t>
            </w:r>
            <w:proofErr w:type="spellEnd"/>
            <w:r w:rsidRPr="000B038D">
              <w:rPr>
                <w:sz w:val="22"/>
                <w:szCs w:val="22"/>
                <w:lang w:val="it-IT"/>
              </w:rPr>
              <w:t xml:space="preserve"> de </w:t>
            </w:r>
            <w:proofErr w:type="spellStart"/>
            <w:r w:rsidRPr="000B038D">
              <w:rPr>
                <w:sz w:val="22"/>
                <w:szCs w:val="22"/>
                <w:lang w:val="it-IT"/>
              </w:rPr>
              <w:t>tranzacție</w:t>
            </w:r>
            <w:proofErr w:type="spellEnd"/>
            <w:r w:rsidRPr="000B038D">
              <w:rPr>
                <w:sz w:val="22"/>
                <w:szCs w:val="22"/>
                <w:lang w:val="it-IT"/>
              </w:rPr>
              <w:t xml:space="preserve"> legate de </w:t>
            </w:r>
            <w:proofErr w:type="spellStart"/>
            <w:r w:rsidRPr="000B038D">
              <w:rPr>
                <w:sz w:val="22"/>
                <w:szCs w:val="22"/>
                <w:lang w:val="it-IT"/>
              </w:rPr>
              <w:t>cumpărarea</w:t>
            </w:r>
            <w:proofErr w:type="spellEnd"/>
            <w:r w:rsidRPr="000B038D">
              <w:rPr>
                <w:sz w:val="22"/>
                <w:szCs w:val="22"/>
                <w:lang w:val="it-IT"/>
              </w:rPr>
              <w:t xml:space="preserve"> </w:t>
            </w:r>
            <w:proofErr w:type="spellStart"/>
            <w:r w:rsidRPr="000B038D">
              <w:rPr>
                <w:sz w:val="22"/>
                <w:szCs w:val="22"/>
                <w:lang w:val="it-IT"/>
              </w:rPr>
              <w:t>sau</w:t>
            </w:r>
            <w:proofErr w:type="spellEnd"/>
            <w:r w:rsidRPr="000B038D">
              <w:rPr>
                <w:sz w:val="22"/>
                <w:szCs w:val="22"/>
                <w:lang w:val="it-IT"/>
              </w:rPr>
              <w:t xml:space="preserve"> </w:t>
            </w:r>
            <w:proofErr w:type="spellStart"/>
            <w:r w:rsidRPr="000B038D">
              <w:rPr>
                <w:sz w:val="22"/>
                <w:szCs w:val="22"/>
                <w:lang w:val="it-IT"/>
              </w:rPr>
              <w:t>vânzarea</w:t>
            </w:r>
            <w:proofErr w:type="spellEnd"/>
            <w:r w:rsidRPr="000B038D">
              <w:rPr>
                <w:sz w:val="22"/>
                <w:szCs w:val="22"/>
                <w:lang w:val="it-IT"/>
              </w:rPr>
              <w:t xml:space="preserve"> </w:t>
            </w:r>
            <w:proofErr w:type="spellStart"/>
            <w:r w:rsidRPr="000B038D">
              <w:rPr>
                <w:sz w:val="22"/>
                <w:szCs w:val="22"/>
                <w:lang w:val="it-IT"/>
              </w:rPr>
              <w:t>gazelor</w:t>
            </w:r>
            <w:proofErr w:type="spellEnd"/>
            <w:r w:rsidRPr="000B038D">
              <w:rPr>
                <w:sz w:val="22"/>
                <w:szCs w:val="22"/>
                <w:lang w:val="it-IT"/>
              </w:rPr>
              <w:t xml:space="preserve"> naturale </w:t>
            </w:r>
            <w:proofErr w:type="spellStart"/>
            <w:r w:rsidRPr="000B038D">
              <w:rPr>
                <w:sz w:val="22"/>
                <w:szCs w:val="22"/>
                <w:lang w:val="it-IT"/>
              </w:rPr>
              <w:t>pentru</w:t>
            </w:r>
            <w:proofErr w:type="spellEnd"/>
            <w:r w:rsidRPr="000B038D">
              <w:rPr>
                <w:sz w:val="22"/>
                <w:szCs w:val="22"/>
                <w:lang w:val="it-IT"/>
              </w:rPr>
              <w:t xml:space="preserve"> echilibrare de </w:t>
            </w:r>
            <w:proofErr w:type="spellStart"/>
            <w:r w:rsidRPr="000B038D">
              <w:rPr>
                <w:sz w:val="22"/>
                <w:szCs w:val="22"/>
                <w:lang w:val="it-IT"/>
              </w:rPr>
              <w:t>către</w:t>
            </w:r>
            <w:proofErr w:type="spellEnd"/>
            <w:r w:rsidRPr="000B038D">
              <w:rPr>
                <w:sz w:val="22"/>
                <w:szCs w:val="22"/>
                <w:lang w:val="it-IT"/>
              </w:rPr>
              <w:t xml:space="preserve"> OST </w:t>
            </w:r>
            <w:proofErr w:type="spellStart"/>
            <w:r w:rsidRPr="000B038D">
              <w:rPr>
                <w:sz w:val="22"/>
                <w:szCs w:val="22"/>
                <w:lang w:val="it-IT"/>
              </w:rPr>
              <w:t>pentru</w:t>
            </w:r>
            <w:proofErr w:type="spellEnd"/>
            <w:r w:rsidRPr="000B038D">
              <w:rPr>
                <w:sz w:val="22"/>
                <w:szCs w:val="22"/>
                <w:lang w:val="it-IT"/>
              </w:rPr>
              <w:t xml:space="preserve"> </w:t>
            </w:r>
            <w:proofErr w:type="spellStart"/>
            <w:r w:rsidRPr="000B038D">
              <w:rPr>
                <w:sz w:val="22"/>
                <w:szCs w:val="22"/>
                <w:lang w:val="it-IT"/>
              </w:rPr>
              <w:t>platformele</w:t>
            </w:r>
            <w:proofErr w:type="spellEnd"/>
            <w:r w:rsidRPr="000B038D">
              <w:rPr>
                <w:sz w:val="22"/>
                <w:szCs w:val="22"/>
                <w:lang w:val="it-IT"/>
              </w:rPr>
              <w:t xml:space="preserve"> de </w:t>
            </w:r>
            <w:proofErr w:type="spellStart"/>
            <w:r w:rsidRPr="000B038D">
              <w:rPr>
                <w:sz w:val="22"/>
                <w:szCs w:val="22"/>
                <w:lang w:val="it-IT"/>
              </w:rPr>
              <w:t>tranzacționare</w:t>
            </w:r>
            <w:proofErr w:type="spellEnd"/>
            <w:r w:rsidRPr="000B038D">
              <w:rPr>
                <w:sz w:val="22"/>
                <w:szCs w:val="22"/>
                <w:lang w:val="it-IT"/>
              </w:rPr>
              <w:t xml:space="preserve">; d) </w:t>
            </w:r>
            <w:proofErr w:type="spellStart"/>
            <w:r w:rsidRPr="000B038D">
              <w:rPr>
                <w:sz w:val="22"/>
                <w:szCs w:val="22"/>
                <w:lang w:val="it-IT"/>
              </w:rPr>
              <w:t>cheltuielile</w:t>
            </w:r>
            <w:proofErr w:type="spellEnd"/>
            <w:r w:rsidRPr="000B038D">
              <w:rPr>
                <w:sz w:val="22"/>
                <w:szCs w:val="22"/>
                <w:lang w:val="it-IT"/>
              </w:rPr>
              <w:t xml:space="preserve"> de </w:t>
            </w:r>
            <w:proofErr w:type="spellStart"/>
            <w:r w:rsidRPr="000B038D">
              <w:rPr>
                <w:sz w:val="22"/>
                <w:szCs w:val="22"/>
                <w:lang w:val="it-IT"/>
              </w:rPr>
              <w:t>finanțare</w:t>
            </w:r>
            <w:proofErr w:type="spellEnd"/>
            <w:r w:rsidRPr="000B038D">
              <w:rPr>
                <w:sz w:val="22"/>
                <w:szCs w:val="22"/>
                <w:lang w:val="it-IT"/>
              </w:rPr>
              <w:t xml:space="preserve"> </w:t>
            </w:r>
            <w:proofErr w:type="spellStart"/>
            <w:r w:rsidRPr="000B038D">
              <w:rPr>
                <w:sz w:val="22"/>
                <w:szCs w:val="22"/>
                <w:lang w:val="it-IT"/>
              </w:rPr>
              <w:t>aferente</w:t>
            </w:r>
            <w:proofErr w:type="spellEnd"/>
            <w:r w:rsidRPr="000B038D">
              <w:rPr>
                <w:sz w:val="22"/>
                <w:szCs w:val="22"/>
                <w:lang w:val="it-IT"/>
              </w:rPr>
              <w:t xml:space="preserve"> </w:t>
            </w:r>
            <w:proofErr w:type="spellStart"/>
            <w:r w:rsidRPr="000B038D">
              <w:rPr>
                <w:sz w:val="22"/>
                <w:szCs w:val="22"/>
                <w:lang w:val="it-IT"/>
              </w:rPr>
              <w:t>marjelor</w:t>
            </w:r>
            <w:proofErr w:type="spellEnd"/>
            <w:r w:rsidRPr="000B038D">
              <w:rPr>
                <w:sz w:val="22"/>
                <w:szCs w:val="22"/>
                <w:lang w:val="it-IT"/>
              </w:rPr>
              <w:t xml:space="preserve"> de </w:t>
            </w:r>
            <w:proofErr w:type="spellStart"/>
            <w:r w:rsidRPr="000B038D">
              <w:rPr>
                <w:sz w:val="22"/>
                <w:szCs w:val="22"/>
                <w:lang w:val="it-IT"/>
              </w:rPr>
              <w:t>tranzacționare</w:t>
            </w:r>
            <w:proofErr w:type="spellEnd"/>
            <w:r w:rsidRPr="000B038D">
              <w:rPr>
                <w:sz w:val="22"/>
                <w:szCs w:val="22"/>
                <w:lang w:val="it-IT"/>
              </w:rPr>
              <w:t xml:space="preserve"> </w:t>
            </w:r>
            <w:proofErr w:type="spellStart"/>
            <w:r w:rsidRPr="000B038D">
              <w:rPr>
                <w:sz w:val="22"/>
                <w:szCs w:val="22"/>
                <w:lang w:val="it-IT"/>
              </w:rPr>
              <w:t>pentru</w:t>
            </w:r>
            <w:proofErr w:type="spellEnd"/>
            <w:r w:rsidRPr="000B038D">
              <w:rPr>
                <w:sz w:val="22"/>
                <w:szCs w:val="22"/>
                <w:lang w:val="it-IT"/>
              </w:rPr>
              <w:t xml:space="preserve"> </w:t>
            </w:r>
            <w:proofErr w:type="spellStart"/>
            <w:r w:rsidRPr="000B038D">
              <w:rPr>
                <w:sz w:val="22"/>
                <w:szCs w:val="22"/>
                <w:lang w:val="it-IT"/>
              </w:rPr>
              <w:t>realizarea</w:t>
            </w:r>
            <w:proofErr w:type="spellEnd"/>
            <w:r w:rsidRPr="000B038D">
              <w:rPr>
                <w:sz w:val="22"/>
                <w:szCs w:val="22"/>
                <w:lang w:val="it-IT"/>
              </w:rPr>
              <w:t xml:space="preserve"> </w:t>
            </w:r>
            <w:proofErr w:type="spellStart"/>
            <w:r w:rsidRPr="000B038D">
              <w:rPr>
                <w:sz w:val="22"/>
                <w:szCs w:val="22"/>
                <w:lang w:val="it-IT"/>
              </w:rPr>
              <w:t>acțiunilor</w:t>
            </w:r>
            <w:proofErr w:type="spellEnd"/>
            <w:r w:rsidRPr="000B038D">
              <w:rPr>
                <w:sz w:val="22"/>
                <w:szCs w:val="22"/>
                <w:lang w:val="it-IT"/>
              </w:rPr>
              <w:t xml:space="preserve"> de echilibrare.</w:t>
            </w:r>
          </w:p>
          <w:p w14:paraId="3D20F076" w14:textId="271A51C3" w:rsidR="002E4DBD" w:rsidRPr="000B038D" w:rsidRDefault="002E4DBD" w:rsidP="00924A85">
            <w:pPr>
              <w:jc w:val="both"/>
              <w:rPr>
                <w:sz w:val="22"/>
                <w:szCs w:val="22"/>
                <w:lang w:val="it-IT"/>
              </w:rPr>
            </w:pPr>
            <w:proofErr w:type="spellStart"/>
            <w:r w:rsidRPr="000B038D">
              <w:rPr>
                <w:b/>
                <w:bCs/>
                <w:i/>
                <w:iCs/>
                <w:sz w:val="22"/>
                <w:szCs w:val="22"/>
                <w:lang w:val="it-IT"/>
              </w:rPr>
              <w:t>Argumentarea</w:t>
            </w:r>
            <w:proofErr w:type="spellEnd"/>
            <w:r w:rsidRPr="000B038D">
              <w:rPr>
                <w:sz w:val="22"/>
                <w:szCs w:val="22"/>
                <w:lang w:val="it-IT"/>
              </w:rPr>
              <w:t>:</w:t>
            </w:r>
            <w:r w:rsidR="00E64844">
              <w:rPr>
                <w:sz w:val="22"/>
                <w:szCs w:val="22"/>
                <w:lang w:val="it-IT"/>
              </w:rPr>
              <w:t xml:space="preserve"> </w:t>
            </w:r>
            <w:proofErr w:type="spellStart"/>
            <w:r w:rsidR="00E06D60" w:rsidRPr="000B038D">
              <w:rPr>
                <w:sz w:val="22"/>
                <w:szCs w:val="22"/>
                <w:lang w:val="it-IT"/>
              </w:rPr>
              <w:t>Potrivit</w:t>
            </w:r>
            <w:proofErr w:type="spellEnd"/>
            <w:r w:rsidR="00E06D60" w:rsidRPr="000B038D">
              <w:rPr>
                <w:sz w:val="22"/>
                <w:szCs w:val="22"/>
                <w:lang w:val="it-IT"/>
              </w:rPr>
              <w:t xml:space="preserve"> art.2 </w:t>
            </w:r>
            <w:proofErr w:type="spellStart"/>
            <w:r w:rsidR="00E06D60" w:rsidRPr="000B038D">
              <w:rPr>
                <w:sz w:val="22"/>
                <w:szCs w:val="22"/>
                <w:lang w:val="it-IT"/>
              </w:rPr>
              <w:t>din</w:t>
            </w:r>
            <w:proofErr w:type="spellEnd"/>
            <w:r w:rsidR="00E06D60" w:rsidRPr="000B038D">
              <w:rPr>
                <w:sz w:val="22"/>
                <w:szCs w:val="22"/>
                <w:lang w:val="it-IT"/>
              </w:rPr>
              <w:t xml:space="preserve"> </w:t>
            </w:r>
            <w:proofErr w:type="spellStart"/>
            <w:r w:rsidR="00E06D60" w:rsidRPr="000B038D">
              <w:rPr>
                <w:sz w:val="22"/>
                <w:szCs w:val="22"/>
                <w:lang w:val="it-IT"/>
              </w:rPr>
              <w:t>Legea</w:t>
            </w:r>
            <w:proofErr w:type="spellEnd"/>
            <w:r w:rsidR="00E06D60" w:rsidRPr="000B038D">
              <w:rPr>
                <w:sz w:val="22"/>
                <w:szCs w:val="22"/>
                <w:lang w:val="it-IT"/>
              </w:rPr>
              <w:t xml:space="preserve"> nr.108/2016 cu </w:t>
            </w:r>
            <w:proofErr w:type="spellStart"/>
            <w:r w:rsidR="00E06D60" w:rsidRPr="000B038D">
              <w:rPr>
                <w:sz w:val="22"/>
                <w:szCs w:val="22"/>
                <w:lang w:val="it-IT"/>
              </w:rPr>
              <w:t>privire</w:t>
            </w:r>
            <w:proofErr w:type="spellEnd"/>
            <w:r w:rsidR="00E06D60" w:rsidRPr="000B038D">
              <w:rPr>
                <w:sz w:val="22"/>
                <w:szCs w:val="22"/>
                <w:lang w:val="it-IT"/>
              </w:rPr>
              <w:t xml:space="preserve"> la </w:t>
            </w:r>
            <w:proofErr w:type="spellStart"/>
            <w:r w:rsidR="00E06D60" w:rsidRPr="000B038D">
              <w:rPr>
                <w:sz w:val="22"/>
                <w:szCs w:val="22"/>
                <w:lang w:val="it-IT"/>
              </w:rPr>
              <w:t>gazele</w:t>
            </w:r>
            <w:proofErr w:type="spellEnd"/>
            <w:r w:rsidR="00E06D60" w:rsidRPr="000B038D">
              <w:rPr>
                <w:sz w:val="22"/>
                <w:szCs w:val="22"/>
                <w:lang w:val="it-IT"/>
              </w:rPr>
              <w:t xml:space="preserve"> naturale, </w:t>
            </w:r>
            <w:proofErr w:type="spellStart"/>
            <w:r w:rsidR="00E06D60" w:rsidRPr="000B038D">
              <w:rPr>
                <w:sz w:val="22"/>
                <w:szCs w:val="22"/>
                <w:lang w:val="it-IT"/>
              </w:rPr>
              <w:t>serviciile</w:t>
            </w:r>
            <w:proofErr w:type="spellEnd"/>
            <w:r w:rsidR="00E06D60" w:rsidRPr="000B038D">
              <w:rPr>
                <w:sz w:val="22"/>
                <w:szCs w:val="22"/>
                <w:lang w:val="it-IT"/>
              </w:rPr>
              <w:t xml:space="preserve"> de </w:t>
            </w:r>
            <w:proofErr w:type="spellStart"/>
            <w:r w:rsidR="00E06D60" w:rsidRPr="000B038D">
              <w:rPr>
                <w:sz w:val="22"/>
                <w:szCs w:val="22"/>
                <w:lang w:val="it-IT"/>
              </w:rPr>
              <w:t>sistem</w:t>
            </w:r>
            <w:proofErr w:type="spellEnd"/>
            <w:r w:rsidR="00E06D60" w:rsidRPr="000B038D">
              <w:rPr>
                <w:sz w:val="22"/>
                <w:szCs w:val="22"/>
                <w:lang w:val="it-IT"/>
              </w:rPr>
              <w:t xml:space="preserve"> </w:t>
            </w:r>
            <w:proofErr w:type="spellStart"/>
            <w:r w:rsidR="00E06D60" w:rsidRPr="000B038D">
              <w:rPr>
                <w:sz w:val="22"/>
                <w:szCs w:val="22"/>
                <w:lang w:val="it-IT"/>
              </w:rPr>
              <w:t>sunt</w:t>
            </w:r>
            <w:proofErr w:type="spellEnd"/>
            <w:r w:rsidR="00E06D60" w:rsidRPr="000B038D">
              <w:rPr>
                <w:sz w:val="22"/>
                <w:szCs w:val="22"/>
                <w:lang w:val="it-IT"/>
              </w:rPr>
              <w:t xml:space="preserve"> definite </w:t>
            </w:r>
            <w:proofErr w:type="spellStart"/>
            <w:r w:rsidR="00E06D60" w:rsidRPr="000B038D">
              <w:rPr>
                <w:sz w:val="22"/>
                <w:szCs w:val="22"/>
                <w:lang w:val="it-IT"/>
              </w:rPr>
              <w:t>ca</w:t>
            </w:r>
            <w:proofErr w:type="spellEnd"/>
            <w:r w:rsidR="00E06D60" w:rsidRPr="000B038D">
              <w:rPr>
                <w:sz w:val="22"/>
                <w:szCs w:val="22"/>
                <w:lang w:val="it-IT"/>
              </w:rPr>
              <w:t xml:space="preserve"> </w:t>
            </w:r>
            <w:proofErr w:type="spellStart"/>
            <w:r w:rsidR="00E06D60" w:rsidRPr="000B038D">
              <w:rPr>
                <w:sz w:val="22"/>
                <w:szCs w:val="22"/>
                <w:lang w:val="it-IT"/>
              </w:rPr>
              <w:t>fiind</w:t>
            </w:r>
            <w:proofErr w:type="spellEnd"/>
            <w:r w:rsidR="00E06D60" w:rsidRPr="000B038D">
              <w:rPr>
                <w:sz w:val="22"/>
                <w:szCs w:val="22"/>
                <w:lang w:val="it-IT"/>
              </w:rPr>
              <w:t xml:space="preserve"> </w:t>
            </w:r>
            <w:proofErr w:type="spellStart"/>
            <w:r w:rsidR="00E06D60" w:rsidRPr="000B038D">
              <w:rPr>
                <w:sz w:val="22"/>
                <w:szCs w:val="22"/>
                <w:lang w:val="it-IT"/>
              </w:rPr>
              <w:t>serviciile</w:t>
            </w:r>
            <w:proofErr w:type="spellEnd"/>
            <w:r w:rsidR="00E06D60" w:rsidRPr="000B038D">
              <w:rPr>
                <w:sz w:val="22"/>
                <w:szCs w:val="22"/>
                <w:lang w:val="it-IT"/>
              </w:rPr>
              <w:t xml:space="preserve"> </w:t>
            </w:r>
            <w:proofErr w:type="spellStart"/>
            <w:r w:rsidR="00E06D60" w:rsidRPr="000B038D">
              <w:rPr>
                <w:sz w:val="22"/>
                <w:szCs w:val="22"/>
                <w:lang w:val="it-IT"/>
              </w:rPr>
              <w:t>necesare</w:t>
            </w:r>
            <w:proofErr w:type="spellEnd"/>
            <w:r w:rsidR="00E06D60" w:rsidRPr="000B038D">
              <w:rPr>
                <w:sz w:val="22"/>
                <w:szCs w:val="22"/>
                <w:lang w:val="it-IT"/>
              </w:rPr>
              <w:t xml:space="preserve"> </w:t>
            </w:r>
            <w:proofErr w:type="spellStart"/>
            <w:r w:rsidR="00E06D60" w:rsidRPr="000B038D">
              <w:rPr>
                <w:sz w:val="22"/>
                <w:szCs w:val="22"/>
                <w:lang w:val="it-IT"/>
              </w:rPr>
              <w:t>pentru</w:t>
            </w:r>
            <w:proofErr w:type="spellEnd"/>
            <w:r w:rsidR="00E06D60" w:rsidRPr="000B038D">
              <w:rPr>
                <w:sz w:val="22"/>
                <w:szCs w:val="22"/>
                <w:lang w:val="it-IT"/>
              </w:rPr>
              <w:t xml:space="preserve"> </w:t>
            </w:r>
            <w:proofErr w:type="spellStart"/>
            <w:r w:rsidR="00E06D60" w:rsidRPr="000B038D">
              <w:rPr>
                <w:sz w:val="22"/>
                <w:szCs w:val="22"/>
                <w:lang w:val="it-IT"/>
              </w:rPr>
              <w:t>asigurarea</w:t>
            </w:r>
            <w:proofErr w:type="spellEnd"/>
            <w:r w:rsidR="00E06D60" w:rsidRPr="000B038D">
              <w:rPr>
                <w:sz w:val="22"/>
                <w:szCs w:val="22"/>
                <w:lang w:val="it-IT"/>
              </w:rPr>
              <w:t xml:space="preserve"> </w:t>
            </w:r>
            <w:proofErr w:type="spellStart"/>
            <w:r w:rsidR="00E06D60" w:rsidRPr="000B038D">
              <w:rPr>
                <w:sz w:val="22"/>
                <w:szCs w:val="22"/>
                <w:lang w:val="it-IT"/>
              </w:rPr>
              <w:t>accesului</w:t>
            </w:r>
            <w:proofErr w:type="spellEnd"/>
            <w:r w:rsidR="00E06D60" w:rsidRPr="000B038D">
              <w:rPr>
                <w:sz w:val="22"/>
                <w:szCs w:val="22"/>
                <w:lang w:val="it-IT"/>
              </w:rPr>
              <w:t xml:space="preserve"> la </w:t>
            </w:r>
            <w:proofErr w:type="spellStart"/>
            <w:r w:rsidR="00E06D60" w:rsidRPr="000B038D">
              <w:rPr>
                <w:sz w:val="22"/>
                <w:szCs w:val="22"/>
                <w:lang w:val="it-IT"/>
              </w:rPr>
              <w:t>rețelele</w:t>
            </w:r>
            <w:proofErr w:type="spellEnd"/>
            <w:r w:rsidR="00E06D60" w:rsidRPr="000B038D">
              <w:rPr>
                <w:sz w:val="22"/>
                <w:szCs w:val="22"/>
                <w:lang w:val="it-IT"/>
              </w:rPr>
              <w:t xml:space="preserve"> de </w:t>
            </w:r>
            <w:proofErr w:type="spellStart"/>
            <w:r w:rsidR="00E06D60" w:rsidRPr="000B038D">
              <w:rPr>
                <w:sz w:val="22"/>
                <w:szCs w:val="22"/>
                <w:lang w:val="it-IT"/>
              </w:rPr>
              <w:t>transport</w:t>
            </w:r>
            <w:proofErr w:type="spellEnd"/>
            <w:r w:rsidR="00E06D60" w:rsidRPr="000B038D">
              <w:rPr>
                <w:sz w:val="22"/>
                <w:szCs w:val="22"/>
                <w:lang w:val="it-IT"/>
              </w:rPr>
              <w:t xml:space="preserve"> </w:t>
            </w:r>
            <w:proofErr w:type="spellStart"/>
            <w:r w:rsidR="00E06D60" w:rsidRPr="000B038D">
              <w:rPr>
                <w:sz w:val="22"/>
                <w:szCs w:val="22"/>
                <w:lang w:val="it-IT"/>
              </w:rPr>
              <w:t>și</w:t>
            </w:r>
            <w:proofErr w:type="spellEnd"/>
            <w:r w:rsidR="00E06D60" w:rsidRPr="000B038D">
              <w:rPr>
                <w:sz w:val="22"/>
                <w:szCs w:val="22"/>
                <w:lang w:val="it-IT"/>
              </w:rPr>
              <w:t xml:space="preserve"> de </w:t>
            </w:r>
            <w:proofErr w:type="spellStart"/>
            <w:r w:rsidR="00E06D60" w:rsidRPr="000B038D">
              <w:rPr>
                <w:sz w:val="22"/>
                <w:szCs w:val="22"/>
                <w:lang w:val="it-IT"/>
              </w:rPr>
              <w:t>distribuție</w:t>
            </w:r>
            <w:proofErr w:type="spellEnd"/>
            <w:r w:rsidR="00E06D60" w:rsidRPr="000B038D">
              <w:rPr>
                <w:sz w:val="22"/>
                <w:szCs w:val="22"/>
                <w:lang w:val="it-IT"/>
              </w:rPr>
              <w:t xml:space="preserve"> a </w:t>
            </w:r>
            <w:proofErr w:type="spellStart"/>
            <w:r w:rsidR="00E06D60" w:rsidRPr="000B038D">
              <w:rPr>
                <w:sz w:val="22"/>
                <w:szCs w:val="22"/>
                <w:lang w:val="it-IT"/>
              </w:rPr>
              <w:t>gazelor</w:t>
            </w:r>
            <w:proofErr w:type="spellEnd"/>
            <w:r w:rsidR="00E06D60" w:rsidRPr="000B038D">
              <w:rPr>
                <w:sz w:val="22"/>
                <w:szCs w:val="22"/>
                <w:lang w:val="it-IT"/>
              </w:rPr>
              <w:t xml:space="preserve"> naturale, la </w:t>
            </w:r>
            <w:proofErr w:type="spellStart"/>
            <w:r w:rsidR="00E06D60" w:rsidRPr="000B038D">
              <w:rPr>
                <w:sz w:val="22"/>
                <w:szCs w:val="22"/>
                <w:lang w:val="it-IT"/>
              </w:rPr>
              <w:t>instalațiile</w:t>
            </w:r>
            <w:proofErr w:type="spellEnd"/>
            <w:r w:rsidR="00E06D60" w:rsidRPr="000B038D">
              <w:rPr>
                <w:sz w:val="22"/>
                <w:szCs w:val="22"/>
                <w:lang w:val="it-IT"/>
              </w:rPr>
              <w:t xml:space="preserve"> de </w:t>
            </w:r>
            <w:proofErr w:type="spellStart"/>
            <w:r w:rsidR="00E06D60" w:rsidRPr="000B038D">
              <w:rPr>
                <w:sz w:val="22"/>
                <w:szCs w:val="22"/>
                <w:lang w:val="it-IT"/>
              </w:rPr>
              <w:t>stocare</w:t>
            </w:r>
            <w:proofErr w:type="spellEnd"/>
            <w:r w:rsidR="00E06D60" w:rsidRPr="000B038D">
              <w:rPr>
                <w:sz w:val="22"/>
                <w:szCs w:val="22"/>
                <w:lang w:val="it-IT"/>
              </w:rPr>
              <w:t xml:space="preserve">, </w:t>
            </w:r>
            <w:proofErr w:type="spellStart"/>
            <w:r w:rsidR="00E06D60" w:rsidRPr="000B038D">
              <w:rPr>
                <w:sz w:val="22"/>
                <w:szCs w:val="22"/>
                <w:lang w:val="it-IT"/>
              </w:rPr>
              <w:t>precum</w:t>
            </w:r>
            <w:proofErr w:type="spellEnd"/>
            <w:r w:rsidR="00E06D60" w:rsidRPr="000B038D">
              <w:rPr>
                <w:sz w:val="22"/>
                <w:szCs w:val="22"/>
                <w:lang w:val="it-IT"/>
              </w:rPr>
              <w:t xml:space="preserve"> </w:t>
            </w:r>
            <w:proofErr w:type="spellStart"/>
            <w:r w:rsidR="00E06D60" w:rsidRPr="000B038D">
              <w:rPr>
                <w:sz w:val="22"/>
                <w:szCs w:val="22"/>
                <w:lang w:val="it-IT"/>
              </w:rPr>
              <w:t>și</w:t>
            </w:r>
            <w:proofErr w:type="spellEnd"/>
            <w:r w:rsidR="00E06D60" w:rsidRPr="000B038D">
              <w:rPr>
                <w:sz w:val="22"/>
                <w:szCs w:val="22"/>
                <w:lang w:val="it-IT"/>
              </w:rPr>
              <w:t xml:space="preserve"> </w:t>
            </w:r>
            <w:proofErr w:type="spellStart"/>
            <w:r w:rsidR="00E06D60" w:rsidRPr="000B038D">
              <w:rPr>
                <w:sz w:val="22"/>
                <w:szCs w:val="22"/>
                <w:lang w:val="it-IT"/>
              </w:rPr>
              <w:t>pentru</w:t>
            </w:r>
            <w:proofErr w:type="spellEnd"/>
            <w:r w:rsidR="00E06D60" w:rsidRPr="000B038D">
              <w:rPr>
                <w:sz w:val="22"/>
                <w:szCs w:val="22"/>
                <w:lang w:val="it-IT"/>
              </w:rPr>
              <w:t xml:space="preserve"> </w:t>
            </w:r>
            <w:proofErr w:type="spellStart"/>
            <w:r w:rsidR="00E06D60" w:rsidRPr="000B038D">
              <w:rPr>
                <w:sz w:val="22"/>
                <w:szCs w:val="22"/>
                <w:lang w:val="it-IT"/>
              </w:rPr>
              <w:t>exploatarea</w:t>
            </w:r>
            <w:proofErr w:type="spellEnd"/>
            <w:r w:rsidR="00E06D60" w:rsidRPr="000B038D">
              <w:rPr>
                <w:sz w:val="22"/>
                <w:szCs w:val="22"/>
                <w:lang w:val="it-IT"/>
              </w:rPr>
              <w:t xml:space="preserve"> </w:t>
            </w:r>
            <w:proofErr w:type="spellStart"/>
            <w:r w:rsidR="00E06D60" w:rsidRPr="000B038D">
              <w:rPr>
                <w:sz w:val="22"/>
                <w:szCs w:val="22"/>
                <w:lang w:val="it-IT"/>
              </w:rPr>
              <w:t>acestora</w:t>
            </w:r>
            <w:proofErr w:type="spellEnd"/>
            <w:r w:rsidR="00E06D60" w:rsidRPr="000B038D">
              <w:rPr>
                <w:sz w:val="22"/>
                <w:szCs w:val="22"/>
                <w:lang w:val="it-IT"/>
              </w:rPr>
              <w:t xml:space="preserve">, </w:t>
            </w:r>
            <w:proofErr w:type="spellStart"/>
            <w:r w:rsidR="00E06D60" w:rsidRPr="000B038D">
              <w:rPr>
                <w:sz w:val="22"/>
                <w:szCs w:val="22"/>
                <w:lang w:val="it-IT"/>
              </w:rPr>
              <w:t>inclusiv</w:t>
            </w:r>
            <w:proofErr w:type="spellEnd"/>
            <w:r w:rsidR="00E06D60" w:rsidRPr="000B038D">
              <w:rPr>
                <w:sz w:val="22"/>
                <w:szCs w:val="22"/>
                <w:lang w:val="it-IT"/>
              </w:rPr>
              <w:t xml:space="preserve"> </w:t>
            </w:r>
            <w:proofErr w:type="spellStart"/>
            <w:r w:rsidR="00E06D60" w:rsidRPr="000B038D">
              <w:rPr>
                <w:sz w:val="22"/>
                <w:szCs w:val="22"/>
                <w:lang w:val="it-IT"/>
              </w:rPr>
              <w:t>serviciile</w:t>
            </w:r>
            <w:proofErr w:type="spellEnd"/>
            <w:r w:rsidR="00E06D60" w:rsidRPr="000B038D">
              <w:rPr>
                <w:sz w:val="22"/>
                <w:szCs w:val="22"/>
                <w:lang w:val="it-IT"/>
              </w:rPr>
              <w:t xml:space="preserve"> de echilibrare, de </w:t>
            </w:r>
            <w:proofErr w:type="spellStart"/>
            <w:r w:rsidR="00E06D60" w:rsidRPr="000B038D">
              <w:rPr>
                <w:sz w:val="22"/>
                <w:szCs w:val="22"/>
                <w:lang w:val="it-IT"/>
              </w:rPr>
              <w:t>amestecare</w:t>
            </w:r>
            <w:proofErr w:type="spellEnd"/>
            <w:r w:rsidR="00E06D60" w:rsidRPr="000B038D">
              <w:rPr>
                <w:sz w:val="22"/>
                <w:szCs w:val="22"/>
                <w:lang w:val="it-IT"/>
              </w:rPr>
              <w:t xml:space="preserve"> </w:t>
            </w:r>
            <w:proofErr w:type="spellStart"/>
            <w:r w:rsidR="00E06D60" w:rsidRPr="000B038D">
              <w:rPr>
                <w:sz w:val="22"/>
                <w:szCs w:val="22"/>
                <w:lang w:val="it-IT"/>
              </w:rPr>
              <w:t>şi</w:t>
            </w:r>
            <w:proofErr w:type="spellEnd"/>
            <w:r w:rsidR="00E06D60" w:rsidRPr="000B038D">
              <w:rPr>
                <w:sz w:val="22"/>
                <w:szCs w:val="22"/>
                <w:lang w:val="it-IT"/>
              </w:rPr>
              <w:t xml:space="preserve"> de </w:t>
            </w:r>
            <w:proofErr w:type="spellStart"/>
            <w:r w:rsidR="00E06D60" w:rsidRPr="000B038D">
              <w:rPr>
                <w:sz w:val="22"/>
                <w:szCs w:val="22"/>
                <w:lang w:val="it-IT"/>
              </w:rPr>
              <w:t>injectare</w:t>
            </w:r>
            <w:proofErr w:type="spellEnd"/>
            <w:r w:rsidR="00E06D60" w:rsidRPr="000B038D">
              <w:rPr>
                <w:sz w:val="22"/>
                <w:szCs w:val="22"/>
                <w:lang w:val="it-IT"/>
              </w:rPr>
              <w:t xml:space="preserve"> a </w:t>
            </w:r>
            <w:proofErr w:type="spellStart"/>
            <w:r w:rsidR="00E06D60" w:rsidRPr="000B038D">
              <w:rPr>
                <w:sz w:val="22"/>
                <w:szCs w:val="22"/>
                <w:lang w:val="it-IT"/>
              </w:rPr>
              <w:t>gazelor</w:t>
            </w:r>
            <w:proofErr w:type="spellEnd"/>
            <w:r w:rsidR="00E06D60" w:rsidRPr="000B038D">
              <w:rPr>
                <w:sz w:val="22"/>
                <w:szCs w:val="22"/>
                <w:lang w:val="it-IT"/>
              </w:rPr>
              <w:t xml:space="preserve"> naturale, dar care nu </w:t>
            </w:r>
            <w:proofErr w:type="spellStart"/>
            <w:r w:rsidR="00E06D60" w:rsidRPr="000B038D">
              <w:rPr>
                <w:sz w:val="22"/>
                <w:szCs w:val="22"/>
                <w:lang w:val="it-IT"/>
              </w:rPr>
              <w:t>țin</w:t>
            </w:r>
            <w:proofErr w:type="spellEnd"/>
            <w:r w:rsidR="00E06D60" w:rsidRPr="000B038D">
              <w:rPr>
                <w:sz w:val="22"/>
                <w:szCs w:val="22"/>
                <w:lang w:val="it-IT"/>
              </w:rPr>
              <w:t xml:space="preserve"> de </w:t>
            </w:r>
            <w:proofErr w:type="spellStart"/>
            <w:r w:rsidR="00E06D60" w:rsidRPr="000B038D">
              <w:rPr>
                <w:sz w:val="22"/>
                <w:szCs w:val="22"/>
                <w:lang w:val="it-IT"/>
              </w:rPr>
              <w:t>instalaţiile</w:t>
            </w:r>
            <w:proofErr w:type="spellEnd"/>
            <w:r w:rsidR="00E06D60" w:rsidRPr="000B038D">
              <w:rPr>
                <w:sz w:val="22"/>
                <w:szCs w:val="22"/>
                <w:lang w:val="it-IT"/>
              </w:rPr>
              <w:t xml:space="preserve"> destinate </w:t>
            </w:r>
            <w:proofErr w:type="spellStart"/>
            <w:r w:rsidR="00E06D60" w:rsidRPr="000B038D">
              <w:rPr>
                <w:sz w:val="22"/>
                <w:szCs w:val="22"/>
                <w:lang w:val="it-IT"/>
              </w:rPr>
              <w:t>operatorului</w:t>
            </w:r>
            <w:proofErr w:type="spellEnd"/>
            <w:r w:rsidR="00E06D60" w:rsidRPr="000B038D">
              <w:rPr>
                <w:sz w:val="22"/>
                <w:szCs w:val="22"/>
                <w:lang w:val="it-IT"/>
              </w:rPr>
              <w:t xml:space="preserve"> </w:t>
            </w:r>
            <w:proofErr w:type="spellStart"/>
            <w:r w:rsidR="00E06D60" w:rsidRPr="000B038D">
              <w:rPr>
                <w:sz w:val="22"/>
                <w:szCs w:val="22"/>
                <w:lang w:val="it-IT"/>
              </w:rPr>
              <w:t>sistemului</w:t>
            </w:r>
            <w:proofErr w:type="spellEnd"/>
            <w:r w:rsidR="00E06D60" w:rsidRPr="000B038D">
              <w:rPr>
                <w:sz w:val="22"/>
                <w:szCs w:val="22"/>
                <w:lang w:val="it-IT"/>
              </w:rPr>
              <w:t xml:space="preserve"> de </w:t>
            </w:r>
            <w:proofErr w:type="spellStart"/>
            <w:r w:rsidR="00E06D60" w:rsidRPr="000B038D">
              <w:rPr>
                <w:sz w:val="22"/>
                <w:szCs w:val="22"/>
                <w:lang w:val="it-IT"/>
              </w:rPr>
              <w:t>transport</w:t>
            </w:r>
            <w:proofErr w:type="spellEnd"/>
            <w:r w:rsidR="00E06D60" w:rsidRPr="000B038D">
              <w:rPr>
                <w:sz w:val="22"/>
                <w:szCs w:val="22"/>
                <w:lang w:val="it-IT"/>
              </w:rPr>
              <w:t xml:space="preserve"> </w:t>
            </w:r>
            <w:proofErr w:type="spellStart"/>
            <w:r w:rsidR="00E06D60" w:rsidRPr="000B038D">
              <w:rPr>
                <w:sz w:val="22"/>
                <w:szCs w:val="22"/>
                <w:lang w:val="it-IT"/>
              </w:rPr>
              <w:t>pentru</w:t>
            </w:r>
            <w:proofErr w:type="spellEnd"/>
            <w:r w:rsidR="00E06D60" w:rsidRPr="000B038D">
              <w:rPr>
                <w:sz w:val="22"/>
                <w:szCs w:val="22"/>
                <w:lang w:val="it-IT"/>
              </w:rPr>
              <w:t xml:space="preserve"> </w:t>
            </w:r>
            <w:proofErr w:type="spellStart"/>
            <w:r w:rsidR="00E06D60" w:rsidRPr="000B038D">
              <w:rPr>
                <w:sz w:val="22"/>
                <w:szCs w:val="22"/>
                <w:lang w:val="it-IT"/>
              </w:rPr>
              <w:t>îndeplinirea</w:t>
            </w:r>
            <w:proofErr w:type="spellEnd"/>
            <w:r w:rsidR="00E06D60" w:rsidRPr="000B038D">
              <w:rPr>
                <w:sz w:val="22"/>
                <w:szCs w:val="22"/>
                <w:lang w:val="it-IT"/>
              </w:rPr>
              <w:t xml:space="preserve"> </w:t>
            </w:r>
            <w:proofErr w:type="spellStart"/>
            <w:r w:rsidR="00E06D60" w:rsidRPr="000B038D">
              <w:rPr>
                <w:sz w:val="22"/>
                <w:szCs w:val="22"/>
                <w:lang w:val="it-IT"/>
              </w:rPr>
              <w:t>funcțiilor</w:t>
            </w:r>
            <w:proofErr w:type="spellEnd"/>
            <w:r w:rsidR="00E06D60" w:rsidRPr="000B038D">
              <w:rPr>
                <w:sz w:val="22"/>
                <w:szCs w:val="22"/>
                <w:lang w:val="it-IT"/>
              </w:rPr>
              <w:t xml:space="preserve"> sale. </w:t>
            </w:r>
            <w:proofErr w:type="spellStart"/>
            <w:r w:rsidR="00E06D60" w:rsidRPr="000B038D">
              <w:rPr>
                <w:sz w:val="22"/>
                <w:szCs w:val="22"/>
                <w:lang w:val="it-IT"/>
              </w:rPr>
              <w:t>Conform</w:t>
            </w:r>
            <w:proofErr w:type="spellEnd"/>
            <w:r w:rsidR="00E06D60" w:rsidRPr="000B038D">
              <w:rPr>
                <w:sz w:val="22"/>
                <w:szCs w:val="22"/>
                <w:lang w:val="it-IT"/>
              </w:rPr>
              <w:t xml:space="preserve"> art.39 </w:t>
            </w:r>
            <w:proofErr w:type="spellStart"/>
            <w:r w:rsidR="00E06D60" w:rsidRPr="000B038D">
              <w:rPr>
                <w:sz w:val="22"/>
                <w:szCs w:val="22"/>
                <w:lang w:val="it-IT"/>
              </w:rPr>
              <w:t>alin</w:t>
            </w:r>
            <w:proofErr w:type="spellEnd"/>
            <w:r w:rsidR="00E06D60" w:rsidRPr="000B038D">
              <w:rPr>
                <w:sz w:val="22"/>
                <w:szCs w:val="22"/>
                <w:lang w:val="it-IT"/>
              </w:rPr>
              <w:t xml:space="preserve">.(4) </w:t>
            </w:r>
            <w:proofErr w:type="spellStart"/>
            <w:r w:rsidR="00E06D60" w:rsidRPr="000B038D">
              <w:rPr>
                <w:sz w:val="22"/>
                <w:szCs w:val="22"/>
                <w:lang w:val="it-IT"/>
              </w:rPr>
              <w:t>din</w:t>
            </w:r>
            <w:proofErr w:type="spellEnd"/>
            <w:r w:rsidR="00E06D60" w:rsidRPr="000B038D">
              <w:rPr>
                <w:sz w:val="22"/>
                <w:szCs w:val="22"/>
                <w:lang w:val="it-IT"/>
              </w:rPr>
              <w:t xml:space="preserve"> </w:t>
            </w:r>
            <w:proofErr w:type="spellStart"/>
            <w:r w:rsidR="00E06D60" w:rsidRPr="000B038D">
              <w:rPr>
                <w:sz w:val="22"/>
                <w:szCs w:val="22"/>
                <w:lang w:val="it-IT"/>
              </w:rPr>
              <w:t>Legea</w:t>
            </w:r>
            <w:proofErr w:type="spellEnd"/>
            <w:r w:rsidR="00E06D60" w:rsidRPr="000B038D">
              <w:rPr>
                <w:sz w:val="22"/>
                <w:szCs w:val="22"/>
                <w:lang w:val="it-IT"/>
              </w:rPr>
              <w:t xml:space="preserve"> nr.108/2016, </w:t>
            </w:r>
            <w:proofErr w:type="spellStart"/>
            <w:r w:rsidR="00E06D60" w:rsidRPr="000B038D">
              <w:rPr>
                <w:sz w:val="22"/>
                <w:szCs w:val="22"/>
                <w:lang w:val="it-IT"/>
              </w:rPr>
              <w:t>operatorul</w:t>
            </w:r>
            <w:proofErr w:type="spellEnd"/>
            <w:r w:rsidR="00E06D60" w:rsidRPr="000B038D">
              <w:rPr>
                <w:sz w:val="22"/>
                <w:szCs w:val="22"/>
                <w:lang w:val="it-IT"/>
              </w:rPr>
              <w:t xml:space="preserve"> </w:t>
            </w:r>
            <w:proofErr w:type="spellStart"/>
            <w:r w:rsidR="00E06D60" w:rsidRPr="000B038D">
              <w:rPr>
                <w:sz w:val="22"/>
                <w:szCs w:val="22"/>
                <w:lang w:val="it-IT"/>
              </w:rPr>
              <w:t>sistemului</w:t>
            </w:r>
            <w:proofErr w:type="spellEnd"/>
            <w:r w:rsidR="00E06D60" w:rsidRPr="000B038D">
              <w:rPr>
                <w:sz w:val="22"/>
                <w:szCs w:val="22"/>
                <w:lang w:val="it-IT"/>
              </w:rPr>
              <w:t xml:space="preserve"> de </w:t>
            </w:r>
            <w:proofErr w:type="spellStart"/>
            <w:r w:rsidR="00E06D60" w:rsidRPr="000B038D">
              <w:rPr>
                <w:sz w:val="22"/>
                <w:szCs w:val="22"/>
                <w:lang w:val="it-IT"/>
              </w:rPr>
              <w:t>transport</w:t>
            </w:r>
            <w:proofErr w:type="spellEnd"/>
            <w:r w:rsidR="00E06D60" w:rsidRPr="000B038D">
              <w:rPr>
                <w:sz w:val="22"/>
                <w:szCs w:val="22"/>
                <w:lang w:val="it-IT"/>
              </w:rPr>
              <w:t xml:space="preserve"> </w:t>
            </w:r>
            <w:proofErr w:type="spellStart"/>
            <w:r w:rsidR="00E06D60" w:rsidRPr="000B038D">
              <w:rPr>
                <w:sz w:val="22"/>
                <w:szCs w:val="22"/>
                <w:lang w:val="it-IT"/>
              </w:rPr>
              <w:t>îndeplinește</w:t>
            </w:r>
            <w:proofErr w:type="spellEnd"/>
            <w:r w:rsidR="00E06D60" w:rsidRPr="000B038D">
              <w:rPr>
                <w:sz w:val="22"/>
                <w:szCs w:val="22"/>
                <w:lang w:val="it-IT"/>
              </w:rPr>
              <w:t xml:space="preserve"> </w:t>
            </w:r>
            <w:proofErr w:type="spellStart"/>
            <w:r w:rsidR="00E06D60" w:rsidRPr="000B038D">
              <w:rPr>
                <w:sz w:val="22"/>
                <w:szCs w:val="22"/>
                <w:lang w:val="it-IT"/>
              </w:rPr>
              <w:t>funcțiile</w:t>
            </w:r>
            <w:proofErr w:type="spellEnd"/>
            <w:r w:rsidR="00E06D60" w:rsidRPr="000B038D">
              <w:rPr>
                <w:sz w:val="22"/>
                <w:szCs w:val="22"/>
                <w:lang w:val="it-IT"/>
              </w:rPr>
              <w:t xml:space="preserve"> de </w:t>
            </w:r>
            <w:proofErr w:type="spellStart"/>
            <w:r w:rsidR="00E06D60" w:rsidRPr="000B038D">
              <w:rPr>
                <w:sz w:val="22"/>
                <w:szCs w:val="22"/>
                <w:lang w:val="it-IT"/>
              </w:rPr>
              <w:t>dispecerat</w:t>
            </w:r>
            <w:proofErr w:type="spellEnd"/>
            <w:r w:rsidR="00E06D60" w:rsidRPr="000B038D">
              <w:rPr>
                <w:sz w:val="22"/>
                <w:szCs w:val="22"/>
                <w:lang w:val="it-IT"/>
              </w:rPr>
              <w:t xml:space="preserve"> </w:t>
            </w:r>
            <w:proofErr w:type="spellStart"/>
            <w:r w:rsidR="00E06D60" w:rsidRPr="000B038D">
              <w:rPr>
                <w:sz w:val="22"/>
                <w:szCs w:val="22"/>
                <w:lang w:val="it-IT"/>
              </w:rPr>
              <w:t>în</w:t>
            </w:r>
            <w:proofErr w:type="spellEnd"/>
            <w:r w:rsidR="00E06D60" w:rsidRPr="000B038D">
              <w:rPr>
                <w:sz w:val="22"/>
                <w:szCs w:val="22"/>
                <w:lang w:val="it-IT"/>
              </w:rPr>
              <w:t xml:space="preserve"> </w:t>
            </w:r>
            <w:proofErr w:type="spellStart"/>
            <w:r w:rsidR="00E06D60" w:rsidRPr="000B038D">
              <w:rPr>
                <w:sz w:val="22"/>
                <w:szCs w:val="22"/>
                <w:lang w:val="it-IT"/>
              </w:rPr>
              <w:t>scopul</w:t>
            </w:r>
            <w:proofErr w:type="spellEnd"/>
            <w:r w:rsidR="00E06D60" w:rsidRPr="000B038D">
              <w:rPr>
                <w:sz w:val="22"/>
                <w:szCs w:val="22"/>
                <w:lang w:val="it-IT"/>
              </w:rPr>
              <w:t xml:space="preserve"> </w:t>
            </w:r>
            <w:proofErr w:type="spellStart"/>
            <w:r w:rsidR="00E06D60" w:rsidRPr="000B038D">
              <w:rPr>
                <w:sz w:val="22"/>
                <w:szCs w:val="22"/>
                <w:lang w:val="it-IT"/>
              </w:rPr>
              <w:t>gestionării</w:t>
            </w:r>
            <w:proofErr w:type="spellEnd"/>
            <w:r w:rsidR="00E06D60" w:rsidRPr="000B038D">
              <w:rPr>
                <w:sz w:val="22"/>
                <w:szCs w:val="22"/>
                <w:lang w:val="it-IT"/>
              </w:rPr>
              <w:t xml:space="preserve"> </w:t>
            </w:r>
            <w:proofErr w:type="spellStart"/>
            <w:r w:rsidR="00E06D60" w:rsidRPr="000B038D">
              <w:rPr>
                <w:sz w:val="22"/>
                <w:szCs w:val="22"/>
                <w:lang w:val="it-IT"/>
              </w:rPr>
              <w:t>volumelor</w:t>
            </w:r>
            <w:proofErr w:type="spellEnd"/>
            <w:r w:rsidR="00E06D60" w:rsidRPr="000B038D">
              <w:rPr>
                <w:sz w:val="22"/>
                <w:szCs w:val="22"/>
                <w:lang w:val="it-IT"/>
              </w:rPr>
              <w:t xml:space="preserve"> de gaze naturale </w:t>
            </w:r>
            <w:proofErr w:type="spellStart"/>
            <w:r w:rsidR="00E06D60" w:rsidRPr="000B038D">
              <w:rPr>
                <w:sz w:val="22"/>
                <w:szCs w:val="22"/>
                <w:lang w:val="it-IT"/>
              </w:rPr>
              <w:t>livrate</w:t>
            </w:r>
            <w:proofErr w:type="spellEnd"/>
            <w:r w:rsidR="00E06D60" w:rsidRPr="000B038D">
              <w:rPr>
                <w:sz w:val="22"/>
                <w:szCs w:val="22"/>
                <w:lang w:val="it-IT"/>
              </w:rPr>
              <w:t xml:space="preserve"> </w:t>
            </w:r>
            <w:proofErr w:type="spellStart"/>
            <w:r w:rsidR="00E06D60" w:rsidRPr="000B038D">
              <w:rPr>
                <w:sz w:val="22"/>
                <w:szCs w:val="22"/>
                <w:lang w:val="it-IT"/>
              </w:rPr>
              <w:t>prin</w:t>
            </w:r>
            <w:proofErr w:type="spellEnd"/>
            <w:r w:rsidR="00E06D60" w:rsidRPr="000B038D">
              <w:rPr>
                <w:sz w:val="22"/>
                <w:szCs w:val="22"/>
                <w:lang w:val="it-IT"/>
              </w:rPr>
              <w:t xml:space="preserve"> </w:t>
            </w:r>
            <w:proofErr w:type="spellStart"/>
            <w:r w:rsidR="00E06D60" w:rsidRPr="000B038D">
              <w:rPr>
                <w:sz w:val="22"/>
                <w:szCs w:val="22"/>
                <w:lang w:val="it-IT"/>
              </w:rPr>
              <w:t>reţelele</w:t>
            </w:r>
            <w:proofErr w:type="spellEnd"/>
            <w:r w:rsidR="00E06D60" w:rsidRPr="000B038D">
              <w:rPr>
                <w:sz w:val="22"/>
                <w:szCs w:val="22"/>
                <w:lang w:val="it-IT"/>
              </w:rPr>
              <w:t xml:space="preserve"> de </w:t>
            </w:r>
            <w:proofErr w:type="spellStart"/>
            <w:r w:rsidR="00E06D60" w:rsidRPr="000B038D">
              <w:rPr>
                <w:sz w:val="22"/>
                <w:szCs w:val="22"/>
                <w:lang w:val="it-IT"/>
              </w:rPr>
              <w:t>transport</w:t>
            </w:r>
            <w:proofErr w:type="spellEnd"/>
            <w:r w:rsidR="00E06D60" w:rsidRPr="000B038D">
              <w:rPr>
                <w:sz w:val="22"/>
                <w:szCs w:val="22"/>
                <w:lang w:val="it-IT"/>
              </w:rPr>
              <w:t xml:space="preserve"> al </w:t>
            </w:r>
            <w:proofErr w:type="spellStart"/>
            <w:r w:rsidR="00E06D60" w:rsidRPr="000B038D">
              <w:rPr>
                <w:sz w:val="22"/>
                <w:szCs w:val="22"/>
                <w:lang w:val="it-IT"/>
              </w:rPr>
              <w:t>gazelor</w:t>
            </w:r>
            <w:proofErr w:type="spellEnd"/>
            <w:r w:rsidR="00E06D60" w:rsidRPr="000B038D">
              <w:rPr>
                <w:sz w:val="22"/>
                <w:szCs w:val="22"/>
                <w:lang w:val="it-IT"/>
              </w:rPr>
              <w:t xml:space="preserve"> naturale </w:t>
            </w:r>
            <w:proofErr w:type="spellStart"/>
            <w:r w:rsidR="00E06D60" w:rsidRPr="000B038D">
              <w:rPr>
                <w:sz w:val="22"/>
                <w:szCs w:val="22"/>
                <w:lang w:val="it-IT"/>
              </w:rPr>
              <w:t>şi</w:t>
            </w:r>
            <w:proofErr w:type="spellEnd"/>
            <w:r w:rsidR="00E06D60" w:rsidRPr="000B038D">
              <w:rPr>
                <w:sz w:val="22"/>
                <w:szCs w:val="22"/>
                <w:lang w:val="it-IT"/>
              </w:rPr>
              <w:t xml:space="preserve"> </w:t>
            </w:r>
            <w:proofErr w:type="spellStart"/>
            <w:r w:rsidR="00E06D60" w:rsidRPr="000B038D">
              <w:rPr>
                <w:sz w:val="22"/>
                <w:szCs w:val="22"/>
                <w:lang w:val="it-IT"/>
              </w:rPr>
              <w:t>asigură</w:t>
            </w:r>
            <w:proofErr w:type="spellEnd"/>
            <w:r w:rsidR="00E06D60" w:rsidRPr="000B038D">
              <w:rPr>
                <w:sz w:val="22"/>
                <w:szCs w:val="22"/>
                <w:lang w:val="it-IT"/>
              </w:rPr>
              <w:t xml:space="preserve"> </w:t>
            </w:r>
            <w:proofErr w:type="spellStart"/>
            <w:r w:rsidR="00E06D60" w:rsidRPr="000B038D">
              <w:rPr>
                <w:sz w:val="22"/>
                <w:szCs w:val="22"/>
                <w:lang w:val="it-IT"/>
              </w:rPr>
              <w:t>echilibrarea</w:t>
            </w:r>
            <w:proofErr w:type="spellEnd"/>
            <w:r w:rsidR="00E06D60" w:rsidRPr="000B038D">
              <w:rPr>
                <w:sz w:val="22"/>
                <w:szCs w:val="22"/>
                <w:lang w:val="it-IT"/>
              </w:rPr>
              <w:t xml:space="preserve"> </w:t>
            </w:r>
            <w:proofErr w:type="spellStart"/>
            <w:r w:rsidR="00E06D60" w:rsidRPr="000B038D">
              <w:rPr>
                <w:sz w:val="22"/>
                <w:szCs w:val="22"/>
                <w:lang w:val="it-IT"/>
              </w:rPr>
              <w:t>sistemului</w:t>
            </w:r>
            <w:proofErr w:type="spellEnd"/>
            <w:r w:rsidR="00E06D60" w:rsidRPr="000B038D">
              <w:rPr>
                <w:sz w:val="22"/>
                <w:szCs w:val="22"/>
                <w:lang w:val="it-IT"/>
              </w:rPr>
              <w:t xml:space="preserve"> de gaze naturale, </w:t>
            </w:r>
            <w:proofErr w:type="spellStart"/>
            <w:r w:rsidR="00E06D60" w:rsidRPr="000B038D">
              <w:rPr>
                <w:sz w:val="22"/>
                <w:szCs w:val="22"/>
                <w:lang w:val="it-IT"/>
              </w:rPr>
              <w:t>precum</w:t>
            </w:r>
            <w:proofErr w:type="spellEnd"/>
            <w:r w:rsidR="00E06D60" w:rsidRPr="000B038D">
              <w:rPr>
                <w:sz w:val="22"/>
                <w:szCs w:val="22"/>
                <w:lang w:val="it-IT"/>
              </w:rPr>
              <w:t xml:space="preserve"> </w:t>
            </w:r>
            <w:proofErr w:type="spellStart"/>
            <w:r w:rsidR="00E06D60" w:rsidRPr="000B038D">
              <w:rPr>
                <w:sz w:val="22"/>
                <w:szCs w:val="22"/>
                <w:lang w:val="it-IT"/>
              </w:rPr>
              <w:t>şi</w:t>
            </w:r>
            <w:proofErr w:type="spellEnd"/>
            <w:r w:rsidR="00E06D60" w:rsidRPr="000B038D">
              <w:rPr>
                <w:sz w:val="22"/>
                <w:szCs w:val="22"/>
                <w:lang w:val="it-IT"/>
              </w:rPr>
              <w:t xml:space="preserve"> </w:t>
            </w:r>
            <w:proofErr w:type="spellStart"/>
            <w:r w:rsidR="00E06D60" w:rsidRPr="000B038D">
              <w:rPr>
                <w:sz w:val="22"/>
                <w:szCs w:val="22"/>
                <w:lang w:val="it-IT"/>
              </w:rPr>
              <w:t>prestarea</w:t>
            </w:r>
            <w:proofErr w:type="spellEnd"/>
            <w:r w:rsidR="00E06D60" w:rsidRPr="000B038D">
              <w:rPr>
                <w:sz w:val="22"/>
                <w:szCs w:val="22"/>
                <w:lang w:val="it-IT"/>
              </w:rPr>
              <w:t xml:space="preserve"> </w:t>
            </w:r>
            <w:proofErr w:type="spellStart"/>
            <w:r w:rsidR="00E06D60" w:rsidRPr="000B038D">
              <w:rPr>
                <w:sz w:val="22"/>
                <w:szCs w:val="22"/>
                <w:lang w:val="it-IT"/>
              </w:rPr>
              <w:lastRenderedPageBreak/>
              <w:t>serviciilor</w:t>
            </w:r>
            <w:proofErr w:type="spellEnd"/>
            <w:r w:rsidR="00E06D60" w:rsidRPr="000B038D">
              <w:rPr>
                <w:sz w:val="22"/>
                <w:szCs w:val="22"/>
                <w:lang w:val="it-IT"/>
              </w:rPr>
              <w:t xml:space="preserve"> de </w:t>
            </w:r>
            <w:proofErr w:type="spellStart"/>
            <w:r w:rsidR="00E06D60" w:rsidRPr="000B038D">
              <w:rPr>
                <w:sz w:val="22"/>
                <w:szCs w:val="22"/>
                <w:lang w:val="it-IT"/>
              </w:rPr>
              <w:t>sistem</w:t>
            </w:r>
            <w:proofErr w:type="spellEnd"/>
            <w:r w:rsidR="00E06D60" w:rsidRPr="000B038D">
              <w:rPr>
                <w:sz w:val="22"/>
                <w:szCs w:val="22"/>
                <w:lang w:val="it-IT"/>
              </w:rPr>
              <w:t xml:space="preserve">, cu </w:t>
            </w:r>
            <w:proofErr w:type="spellStart"/>
            <w:r w:rsidR="00E06D60" w:rsidRPr="000B038D">
              <w:rPr>
                <w:sz w:val="22"/>
                <w:szCs w:val="22"/>
                <w:lang w:val="it-IT"/>
              </w:rPr>
              <w:t>respectarea</w:t>
            </w:r>
            <w:proofErr w:type="spellEnd"/>
            <w:r w:rsidR="00E06D60" w:rsidRPr="000B038D">
              <w:rPr>
                <w:sz w:val="22"/>
                <w:szCs w:val="22"/>
                <w:lang w:val="it-IT"/>
              </w:rPr>
              <w:t xml:space="preserve"> </w:t>
            </w:r>
            <w:proofErr w:type="spellStart"/>
            <w:r w:rsidR="00E06D60" w:rsidRPr="000B038D">
              <w:rPr>
                <w:sz w:val="22"/>
                <w:szCs w:val="22"/>
                <w:lang w:val="it-IT"/>
              </w:rPr>
              <w:t>principiului</w:t>
            </w:r>
            <w:proofErr w:type="spellEnd"/>
            <w:r w:rsidR="00E06D60" w:rsidRPr="000B038D">
              <w:rPr>
                <w:sz w:val="22"/>
                <w:szCs w:val="22"/>
                <w:lang w:val="it-IT"/>
              </w:rPr>
              <w:t xml:space="preserve"> </w:t>
            </w:r>
            <w:proofErr w:type="spellStart"/>
            <w:r w:rsidR="00E06D60" w:rsidRPr="000B038D">
              <w:rPr>
                <w:sz w:val="22"/>
                <w:szCs w:val="22"/>
                <w:lang w:val="it-IT"/>
              </w:rPr>
              <w:t>eficienţei</w:t>
            </w:r>
            <w:proofErr w:type="spellEnd"/>
            <w:r w:rsidR="00E06D60" w:rsidRPr="000B038D">
              <w:rPr>
                <w:sz w:val="22"/>
                <w:szCs w:val="22"/>
                <w:lang w:val="it-IT"/>
              </w:rPr>
              <w:t xml:space="preserve"> </w:t>
            </w:r>
            <w:proofErr w:type="spellStart"/>
            <w:r w:rsidR="00E06D60" w:rsidRPr="000B038D">
              <w:rPr>
                <w:sz w:val="22"/>
                <w:szCs w:val="22"/>
                <w:lang w:val="it-IT"/>
              </w:rPr>
              <w:t>maxime</w:t>
            </w:r>
            <w:proofErr w:type="spellEnd"/>
            <w:r w:rsidR="00E06D60" w:rsidRPr="000B038D">
              <w:rPr>
                <w:sz w:val="22"/>
                <w:szCs w:val="22"/>
                <w:lang w:val="it-IT"/>
              </w:rPr>
              <w:t xml:space="preserve"> la </w:t>
            </w:r>
            <w:proofErr w:type="spellStart"/>
            <w:r w:rsidR="00E06D60" w:rsidRPr="000B038D">
              <w:rPr>
                <w:sz w:val="22"/>
                <w:szCs w:val="22"/>
                <w:lang w:val="it-IT"/>
              </w:rPr>
              <w:t>costuri</w:t>
            </w:r>
            <w:proofErr w:type="spellEnd"/>
            <w:r w:rsidR="00E06D60" w:rsidRPr="000B038D">
              <w:rPr>
                <w:sz w:val="22"/>
                <w:szCs w:val="22"/>
                <w:lang w:val="it-IT"/>
              </w:rPr>
              <w:t xml:space="preserve"> minime, </w:t>
            </w:r>
            <w:proofErr w:type="spellStart"/>
            <w:r w:rsidR="00E06D60" w:rsidRPr="000B038D">
              <w:rPr>
                <w:sz w:val="22"/>
                <w:szCs w:val="22"/>
                <w:lang w:val="it-IT"/>
              </w:rPr>
              <w:t>în</w:t>
            </w:r>
            <w:proofErr w:type="spellEnd"/>
            <w:r w:rsidR="00E06D60" w:rsidRPr="000B038D">
              <w:rPr>
                <w:sz w:val="22"/>
                <w:szCs w:val="22"/>
                <w:lang w:val="it-IT"/>
              </w:rPr>
              <w:t xml:space="preserve"> </w:t>
            </w:r>
            <w:proofErr w:type="spellStart"/>
            <w:r w:rsidR="00E06D60" w:rsidRPr="000B038D">
              <w:rPr>
                <w:sz w:val="22"/>
                <w:szCs w:val="22"/>
                <w:lang w:val="it-IT"/>
              </w:rPr>
              <w:t>condiţiile</w:t>
            </w:r>
            <w:proofErr w:type="spellEnd"/>
            <w:r w:rsidR="00E06D60" w:rsidRPr="000B038D">
              <w:rPr>
                <w:sz w:val="22"/>
                <w:szCs w:val="22"/>
                <w:lang w:val="it-IT"/>
              </w:rPr>
              <w:t xml:space="preserve"> stabilite </w:t>
            </w:r>
            <w:proofErr w:type="spellStart"/>
            <w:r w:rsidR="00E06D60" w:rsidRPr="000B038D">
              <w:rPr>
                <w:sz w:val="22"/>
                <w:szCs w:val="22"/>
                <w:lang w:val="it-IT"/>
              </w:rPr>
              <w:t>în</w:t>
            </w:r>
            <w:proofErr w:type="spellEnd"/>
            <w:r w:rsidR="00E06D60" w:rsidRPr="000B038D">
              <w:rPr>
                <w:sz w:val="22"/>
                <w:szCs w:val="22"/>
                <w:lang w:val="it-IT"/>
              </w:rPr>
              <w:t xml:space="preserve"> </w:t>
            </w:r>
            <w:proofErr w:type="spellStart"/>
            <w:r w:rsidR="00E06D60" w:rsidRPr="000B038D">
              <w:rPr>
                <w:sz w:val="22"/>
                <w:szCs w:val="22"/>
                <w:lang w:val="it-IT"/>
              </w:rPr>
              <w:t>prezenta</w:t>
            </w:r>
            <w:proofErr w:type="spellEnd"/>
            <w:r w:rsidR="00E06D60" w:rsidRPr="000B038D">
              <w:rPr>
                <w:sz w:val="22"/>
                <w:szCs w:val="22"/>
                <w:lang w:val="it-IT"/>
              </w:rPr>
              <w:t xml:space="preserve"> </w:t>
            </w:r>
            <w:proofErr w:type="spellStart"/>
            <w:r w:rsidR="00E06D60" w:rsidRPr="000B038D">
              <w:rPr>
                <w:sz w:val="22"/>
                <w:szCs w:val="22"/>
                <w:lang w:val="it-IT"/>
              </w:rPr>
              <w:t>lege</w:t>
            </w:r>
            <w:proofErr w:type="spellEnd"/>
            <w:r w:rsidR="00E06D60" w:rsidRPr="000B038D">
              <w:rPr>
                <w:sz w:val="22"/>
                <w:szCs w:val="22"/>
                <w:lang w:val="it-IT"/>
              </w:rPr>
              <w:t xml:space="preserve">, </w:t>
            </w:r>
            <w:proofErr w:type="spellStart"/>
            <w:r w:rsidR="00E06D60" w:rsidRPr="000B038D">
              <w:rPr>
                <w:sz w:val="22"/>
                <w:szCs w:val="22"/>
                <w:lang w:val="it-IT"/>
              </w:rPr>
              <w:t>în</w:t>
            </w:r>
            <w:proofErr w:type="spellEnd"/>
            <w:r w:rsidR="00E06D60" w:rsidRPr="000B038D">
              <w:rPr>
                <w:sz w:val="22"/>
                <w:szCs w:val="22"/>
                <w:lang w:val="it-IT"/>
              </w:rPr>
              <w:t xml:space="preserve"> </w:t>
            </w:r>
            <w:proofErr w:type="spellStart"/>
            <w:r w:rsidR="00E06D60" w:rsidRPr="000B038D">
              <w:rPr>
                <w:sz w:val="22"/>
                <w:szCs w:val="22"/>
                <w:lang w:val="it-IT"/>
              </w:rPr>
              <w:t>Codul</w:t>
            </w:r>
            <w:proofErr w:type="spellEnd"/>
            <w:r w:rsidR="00E06D60" w:rsidRPr="000B038D">
              <w:rPr>
                <w:sz w:val="22"/>
                <w:szCs w:val="22"/>
                <w:lang w:val="it-IT"/>
              </w:rPr>
              <w:t xml:space="preserve"> </w:t>
            </w:r>
            <w:proofErr w:type="spellStart"/>
            <w:r w:rsidR="00E06D60" w:rsidRPr="000B038D">
              <w:rPr>
                <w:sz w:val="22"/>
                <w:szCs w:val="22"/>
                <w:lang w:val="it-IT"/>
              </w:rPr>
              <w:t>rețelelor</w:t>
            </w:r>
            <w:proofErr w:type="spellEnd"/>
            <w:r w:rsidR="00E06D60" w:rsidRPr="000B038D">
              <w:rPr>
                <w:sz w:val="22"/>
                <w:szCs w:val="22"/>
                <w:lang w:val="it-IT"/>
              </w:rPr>
              <w:t xml:space="preserve"> de gaze naturale, </w:t>
            </w:r>
            <w:proofErr w:type="spellStart"/>
            <w:r w:rsidR="00E06D60" w:rsidRPr="000B038D">
              <w:rPr>
                <w:sz w:val="22"/>
                <w:szCs w:val="22"/>
                <w:lang w:val="it-IT"/>
              </w:rPr>
              <w:t>în</w:t>
            </w:r>
            <w:proofErr w:type="spellEnd"/>
            <w:r w:rsidR="00E06D60" w:rsidRPr="000B038D">
              <w:rPr>
                <w:sz w:val="22"/>
                <w:szCs w:val="22"/>
                <w:lang w:val="it-IT"/>
              </w:rPr>
              <w:t xml:space="preserve"> </w:t>
            </w:r>
            <w:proofErr w:type="spellStart"/>
            <w:r w:rsidR="00E06D60" w:rsidRPr="000B038D">
              <w:rPr>
                <w:sz w:val="22"/>
                <w:szCs w:val="22"/>
                <w:lang w:val="it-IT"/>
              </w:rPr>
              <w:t>Regulile</w:t>
            </w:r>
            <w:proofErr w:type="spellEnd"/>
            <w:r w:rsidR="00E06D60" w:rsidRPr="000B038D">
              <w:rPr>
                <w:sz w:val="22"/>
                <w:szCs w:val="22"/>
                <w:lang w:val="it-IT"/>
              </w:rPr>
              <w:t xml:space="preserve"> </w:t>
            </w:r>
            <w:proofErr w:type="spellStart"/>
            <w:r w:rsidR="00E06D60" w:rsidRPr="000B038D">
              <w:rPr>
                <w:sz w:val="22"/>
                <w:szCs w:val="22"/>
                <w:lang w:val="it-IT"/>
              </w:rPr>
              <w:t>pieţei</w:t>
            </w:r>
            <w:proofErr w:type="spellEnd"/>
            <w:r w:rsidR="00E06D60" w:rsidRPr="000B038D">
              <w:rPr>
                <w:sz w:val="22"/>
                <w:szCs w:val="22"/>
                <w:lang w:val="it-IT"/>
              </w:rPr>
              <w:t xml:space="preserve"> </w:t>
            </w:r>
            <w:proofErr w:type="spellStart"/>
            <w:r w:rsidR="00E06D60" w:rsidRPr="000B038D">
              <w:rPr>
                <w:sz w:val="22"/>
                <w:szCs w:val="22"/>
                <w:lang w:val="it-IT"/>
              </w:rPr>
              <w:t>gazelor</w:t>
            </w:r>
            <w:proofErr w:type="spellEnd"/>
            <w:r w:rsidR="00E06D60" w:rsidRPr="000B038D">
              <w:rPr>
                <w:sz w:val="22"/>
                <w:szCs w:val="22"/>
                <w:lang w:val="it-IT"/>
              </w:rPr>
              <w:t xml:space="preserve"> naturale. </w:t>
            </w:r>
            <w:proofErr w:type="spellStart"/>
            <w:r w:rsidR="00E06D60" w:rsidRPr="000B038D">
              <w:rPr>
                <w:sz w:val="22"/>
                <w:szCs w:val="22"/>
                <w:lang w:val="it-IT"/>
              </w:rPr>
              <w:t>Regulile</w:t>
            </w:r>
            <w:proofErr w:type="spellEnd"/>
            <w:r w:rsidR="00E06D60" w:rsidRPr="000B038D">
              <w:rPr>
                <w:sz w:val="22"/>
                <w:szCs w:val="22"/>
                <w:lang w:val="it-IT"/>
              </w:rPr>
              <w:t xml:space="preserve"> </w:t>
            </w:r>
            <w:proofErr w:type="spellStart"/>
            <w:r w:rsidR="00E06D60" w:rsidRPr="000B038D">
              <w:rPr>
                <w:sz w:val="22"/>
                <w:szCs w:val="22"/>
                <w:lang w:val="it-IT"/>
              </w:rPr>
              <w:t>utilizate</w:t>
            </w:r>
            <w:proofErr w:type="spellEnd"/>
            <w:r w:rsidR="00E06D60" w:rsidRPr="000B038D">
              <w:rPr>
                <w:sz w:val="22"/>
                <w:szCs w:val="22"/>
                <w:lang w:val="it-IT"/>
              </w:rPr>
              <w:t xml:space="preserve"> de </w:t>
            </w:r>
            <w:proofErr w:type="spellStart"/>
            <w:r w:rsidR="00E06D60" w:rsidRPr="000B038D">
              <w:rPr>
                <w:sz w:val="22"/>
                <w:szCs w:val="22"/>
                <w:lang w:val="it-IT"/>
              </w:rPr>
              <w:t>operatorul</w:t>
            </w:r>
            <w:proofErr w:type="spellEnd"/>
            <w:r w:rsidR="00E06D60" w:rsidRPr="000B038D">
              <w:rPr>
                <w:sz w:val="22"/>
                <w:szCs w:val="22"/>
                <w:lang w:val="it-IT"/>
              </w:rPr>
              <w:t xml:space="preserve"> </w:t>
            </w:r>
            <w:proofErr w:type="spellStart"/>
            <w:r w:rsidR="00E06D60" w:rsidRPr="000B038D">
              <w:rPr>
                <w:sz w:val="22"/>
                <w:szCs w:val="22"/>
                <w:lang w:val="it-IT"/>
              </w:rPr>
              <w:t>sistemului</w:t>
            </w:r>
            <w:proofErr w:type="spellEnd"/>
            <w:r w:rsidR="00E06D60" w:rsidRPr="000B038D">
              <w:rPr>
                <w:sz w:val="22"/>
                <w:szCs w:val="22"/>
                <w:lang w:val="it-IT"/>
              </w:rPr>
              <w:t xml:space="preserve"> de </w:t>
            </w:r>
            <w:proofErr w:type="spellStart"/>
            <w:r w:rsidR="00E06D60" w:rsidRPr="000B038D">
              <w:rPr>
                <w:sz w:val="22"/>
                <w:szCs w:val="22"/>
                <w:lang w:val="it-IT"/>
              </w:rPr>
              <w:t>transport</w:t>
            </w:r>
            <w:proofErr w:type="spellEnd"/>
            <w:r w:rsidR="00E06D60" w:rsidRPr="000B038D">
              <w:rPr>
                <w:sz w:val="22"/>
                <w:szCs w:val="22"/>
                <w:lang w:val="it-IT"/>
              </w:rPr>
              <w:t xml:space="preserve"> </w:t>
            </w:r>
            <w:proofErr w:type="spellStart"/>
            <w:r w:rsidR="00E06D60" w:rsidRPr="000B038D">
              <w:rPr>
                <w:sz w:val="22"/>
                <w:szCs w:val="22"/>
                <w:lang w:val="it-IT"/>
              </w:rPr>
              <w:t>în</w:t>
            </w:r>
            <w:proofErr w:type="spellEnd"/>
            <w:r w:rsidR="00E06D60" w:rsidRPr="000B038D">
              <w:rPr>
                <w:sz w:val="22"/>
                <w:szCs w:val="22"/>
                <w:lang w:val="it-IT"/>
              </w:rPr>
              <w:t xml:space="preserve"> </w:t>
            </w:r>
            <w:proofErr w:type="spellStart"/>
            <w:r w:rsidR="00E06D60" w:rsidRPr="000B038D">
              <w:rPr>
                <w:sz w:val="22"/>
                <w:szCs w:val="22"/>
                <w:lang w:val="it-IT"/>
              </w:rPr>
              <w:t>acest</w:t>
            </w:r>
            <w:proofErr w:type="spellEnd"/>
            <w:r w:rsidR="00E06D60" w:rsidRPr="000B038D">
              <w:rPr>
                <w:sz w:val="22"/>
                <w:szCs w:val="22"/>
                <w:lang w:val="it-IT"/>
              </w:rPr>
              <w:t xml:space="preserve"> </w:t>
            </w:r>
            <w:proofErr w:type="spellStart"/>
            <w:r w:rsidR="00E06D60" w:rsidRPr="000B038D">
              <w:rPr>
                <w:sz w:val="22"/>
                <w:szCs w:val="22"/>
                <w:lang w:val="it-IT"/>
              </w:rPr>
              <w:t>scop</w:t>
            </w:r>
            <w:proofErr w:type="spellEnd"/>
            <w:r w:rsidR="00E06D60" w:rsidRPr="000B038D">
              <w:rPr>
                <w:sz w:val="22"/>
                <w:szCs w:val="22"/>
                <w:lang w:val="it-IT"/>
              </w:rPr>
              <w:t xml:space="preserve"> </w:t>
            </w:r>
            <w:proofErr w:type="spellStart"/>
            <w:r w:rsidR="00E06D60" w:rsidRPr="000B038D">
              <w:rPr>
                <w:sz w:val="22"/>
                <w:szCs w:val="22"/>
                <w:lang w:val="it-IT"/>
              </w:rPr>
              <w:t>trebuie</w:t>
            </w:r>
            <w:proofErr w:type="spellEnd"/>
            <w:r w:rsidR="00E06D60" w:rsidRPr="000B038D">
              <w:rPr>
                <w:sz w:val="22"/>
                <w:szCs w:val="22"/>
                <w:lang w:val="it-IT"/>
              </w:rPr>
              <w:t xml:space="preserve"> </w:t>
            </w:r>
            <w:proofErr w:type="spellStart"/>
            <w:r w:rsidR="00E06D60" w:rsidRPr="000B038D">
              <w:rPr>
                <w:sz w:val="22"/>
                <w:szCs w:val="22"/>
                <w:lang w:val="it-IT"/>
              </w:rPr>
              <w:t>să</w:t>
            </w:r>
            <w:proofErr w:type="spellEnd"/>
            <w:r w:rsidR="00E06D60" w:rsidRPr="000B038D">
              <w:rPr>
                <w:sz w:val="22"/>
                <w:szCs w:val="22"/>
                <w:lang w:val="it-IT"/>
              </w:rPr>
              <w:t xml:space="preserve"> </w:t>
            </w:r>
            <w:proofErr w:type="spellStart"/>
            <w:r w:rsidR="00E06D60" w:rsidRPr="000B038D">
              <w:rPr>
                <w:sz w:val="22"/>
                <w:szCs w:val="22"/>
                <w:lang w:val="it-IT"/>
              </w:rPr>
              <w:t>fie</w:t>
            </w:r>
            <w:proofErr w:type="spellEnd"/>
            <w:r w:rsidR="00E06D60" w:rsidRPr="000B038D">
              <w:rPr>
                <w:sz w:val="22"/>
                <w:szCs w:val="22"/>
                <w:lang w:val="it-IT"/>
              </w:rPr>
              <w:t xml:space="preserve"> </w:t>
            </w:r>
            <w:proofErr w:type="spellStart"/>
            <w:r w:rsidR="00E06D60" w:rsidRPr="000B038D">
              <w:rPr>
                <w:sz w:val="22"/>
                <w:szCs w:val="22"/>
                <w:lang w:val="it-IT"/>
              </w:rPr>
              <w:t>obiective</w:t>
            </w:r>
            <w:proofErr w:type="spellEnd"/>
            <w:r w:rsidR="00E06D60" w:rsidRPr="000B038D">
              <w:rPr>
                <w:sz w:val="22"/>
                <w:szCs w:val="22"/>
                <w:lang w:val="it-IT"/>
              </w:rPr>
              <w:t xml:space="preserve">, </w:t>
            </w:r>
            <w:proofErr w:type="spellStart"/>
            <w:r w:rsidR="00E06D60" w:rsidRPr="000B038D">
              <w:rPr>
                <w:sz w:val="22"/>
                <w:szCs w:val="22"/>
                <w:lang w:val="it-IT"/>
              </w:rPr>
              <w:t>transparente</w:t>
            </w:r>
            <w:proofErr w:type="spellEnd"/>
            <w:r w:rsidR="00E06D60" w:rsidRPr="000B038D">
              <w:rPr>
                <w:sz w:val="22"/>
                <w:szCs w:val="22"/>
                <w:lang w:val="it-IT"/>
              </w:rPr>
              <w:t xml:space="preserve"> </w:t>
            </w:r>
            <w:proofErr w:type="spellStart"/>
            <w:r w:rsidR="00E06D60" w:rsidRPr="000B038D">
              <w:rPr>
                <w:sz w:val="22"/>
                <w:szCs w:val="22"/>
                <w:lang w:val="it-IT"/>
              </w:rPr>
              <w:t>şi</w:t>
            </w:r>
            <w:proofErr w:type="spellEnd"/>
            <w:r w:rsidR="00E06D60" w:rsidRPr="000B038D">
              <w:rPr>
                <w:sz w:val="22"/>
                <w:szCs w:val="22"/>
                <w:lang w:val="it-IT"/>
              </w:rPr>
              <w:t xml:space="preserve"> </w:t>
            </w:r>
            <w:proofErr w:type="spellStart"/>
            <w:r w:rsidR="00E06D60" w:rsidRPr="000B038D">
              <w:rPr>
                <w:sz w:val="22"/>
                <w:szCs w:val="22"/>
                <w:lang w:val="it-IT"/>
              </w:rPr>
              <w:t>nediscriminatorii</w:t>
            </w:r>
            <w:proofErr w:type="spellEnd"/>
            <w:r w:rsidR="00E06D60" w:rsidRPr="000B038D">
              <w:rPr>
                <w:sz w:val="22"/>
                <w:szCs w:val="22"/>
                <w:lang w:val="it-IT"/>
              </w:rPr>
              <w:t xml:space="preserve">, </w:t>
            </w:r>
            <w:proofErr w:type="spellStart"/>
            <w:r w:rsidR="00E06D60" w:rsidRPr="000B038D">
              <w:rPr>
                <w:sz w:val="22"/>
                <w:szCs w:val="22"/>
                <w:lang w:val="it-IT"/>
              </w:rPr>
              <w:t>inclusiv</w:t>
            </w:r>
            <w:proofErr w:type="spellEnd"/>
            <w:r w:rsidR="00E06D60" w:rsidRPr="000B038D">
              <w:rPr>
                <w:sz w:val="22"/>
                <w:szCs w:val="22"/>
                <w:lang w:val="it-IT"/>
              </w:rPr>
              <w:t xml:space="preserve"> </w:t>
            </w:r>
            <w:proofErr w:type="spellStart"/>
            <w:r w:rsidR="00E06D60" w:rsidRPr="000B038D">
              <w:rPr>
                <w:sz w:val="22"/>
                <w:szCs w:val="22"/>
                <w:lang w:val="it-IT"/>
              </w:rPr>
              <w:t>în</w:t>
            </w:r>
            <w:proofErr w:type="spellEnd"/>
            <w:r w:rsidR="00E06D60" w:rsidRPr="000B038D">
              <w:rPr>
                <w:sz w:val="22"/>
                <w:szCs w:val="22"/>
                <w:lang w:val="it-IT"/>
              </w:rPr>
              <w:t xml:space="preserve"> </w:t>
            </w:r>
            <w:proofErr w:type="spellStart"/>
            <w:r w:rsidR="00E06D60" w:rsidRPr="000B038D">
              <w:rPr>
                <w:sz w:val="22"/>
                <w:szCs w:val="22"/>
                <w:lang w:val="it-IT"/>
              </w:rPr>
              <w:t>ceea</w:t>
            </w:r>
            <w:proofErr w:type="spellEnd"/>
            <w:r w:rsidR="00E06D60" w:rsidRPr="000B038D">
              <w:rPr>
                <w:sz w:val="22"/>
                <w:szCs w:val="22"/>
                <w:lang w:val="it-IT"/>
              </w:rPr>
              <w:t xml:space="preserve"> ce </w:t>
            </w:r>
            <w:proofErr w:type="spellStart"/>
            <w:r w:rsidR="00E06D60" w:rsidRPr="000B038D">
              <w:rPr>
                <w:sz w:val="22"/>
                <w:szCs w:val="22"/>
                <w:lang w:val="it-IT"/>
              </w:rPr>
              <w:t>privește</w:t>
            </w:r>
            <w:proofErr w:type="spellEnd"/>
            <w:r w:rsidR="00E06D60" w:rsidRPr="000B038D">
              <w:rPr>
                <w:sz w:val="22"/>
                <w:szCs w:val="22"/>
                <w:lang w:val="it-IT"/>
              </w:rPr>
              <w:t xml:space="preserve"> </w:t>
            </w:r>
            <w:proofErr w:type="spellStart"/>
            <w:r w:rsidR="00E06D60" w:rsidRPr="000B038D">
              <w:rPr>
                <w:sz w:val="22"/>
                <w:szCs w:val="22"/>
                <w:lang w:val="it-IT"/>
              </w:rPr>
              <w:t>taxarea</w:t>
            </w:r>
            <w:proofErr w:type="spellEnd"/>
            <w:r w:rsidR="00E06D60" w:rsidRPr="000B038D">
              <w:rPr>
                <w:sz w:val="22"/>
                <w:szCs w:val="22"/>
                <w:lang w:val="it-IT"/>
              </w:rPr>
              <w:t xml:space="preserve"> </w:t>
            </w:r>
            <w:proofErr w:type="spellStart"/>
            <w:r w:rsidR="00E06D60" w:rsidRPr="000B038D">
              <w:rPr>
                <w:sz w:val="22"/>
                <w:szCs w:val="22"/>
                <w:lang w:val="it-IT"/>
              </w:rPr>
              <w:t>utilizatorilor</w:t>
            </w:r>
            <w:proofErr w:type="spellEnd"/>
            <w:r w:rsidR="00E06D60" w:rsidRPr="000B038D">
              <w:rPr>
                <w:sz w:val="22"/>
                <w:szCs w:val="22"/>
                <w:lang w:val="it-IT"/>
              </w:rPr>
              <w:t xml:space="preserve"> de </w:t>
            </w:r>
            <w:proofErr w:type="spellStart"/>
            <w:r w:rsidR="00E06D60" w:rsidRPr="000B038D">
              <w:rPr>
                <w:sz w:val="22"/>
                <w:szCs w:val="22"/>
                <w:lang w:val="it-IT"/>
              </w:rPr>
              <w:t>sistem</w:t>
            </w:r>
            <w:proofErr w:type="spellEnd"/>
            <w:r w:rsidR="00E06D60" w:rsidRPr="000B038D">
              <w:rPr>
                <w:sz w:val="22"/>
                <w:szCs w:val="22"/>
                <w:lang w:val="it-IT"/>
              </w:rPr>
              <w:t xml:space="preserve"> </w:t>
            </w:r>
            <w:proofErr w:type="spellStart"/>
            <w:r w:rsidR="00E06D60" w:rsidRPr="000B038D">
              <w:rPr>
                <w:sz w:val="22"/>
                <w:szCs w:val="22"/>
                <w:lang w:val="it-IT"/>
              </w:rPr>
              <w:t>pentru</w:t>
            </w:r>
            <w:proofErr w:type="spellEnd"/>
            <w:r w:rsidR="00E06D60" w:rsidRPr="000B038D">
              <w:rPr>
                <w:sz w:val="22"/>
                <w:szCs w:val="22"/>
                <w:lang w:val="it-IT"/>
              </w:rPr>
              <w:t xml:space="preserve"> </w:t>
            </w:r>
            <w:proofErr w:type="spellStart"/>
            <w:r w:rsidR="00E06D60" w:rsidRPr="000B038D">
              <w:rPr>
                <w:sz w:val="22"/>
                <w:szCs w:val="22"/>
                <w:lang w:val="it-IT"/>
              </w:rPr>
              <w:t>provocarea</w:t>
            </w:r>
            <w:proofErr w:type="spellEnd"/>
            <w:r w:rsidR="00E06D60" w:rsidRPr="000B038D">
              <w:rPr>
                <w:sz w:val="22"/>
                <w:szCs w:val="22"/>
                <w:lang w:val="it-IT"/>
              </w:rPr>
              <w:t xml:space="preserve"> </w:t>
            </w:r>
            <w:proofErr w:type="spellStart"/>
            <w:r w:rsidR="00E06D60" w:rsidRPr="000B038D">
              <w:rPr>
                <w:sz w:val="22"/>
                <w:szCs w:val="22"/>
                <w:lang w:val="it-IT"/>
              </w:rPr>
              <w:t>dezechilibrelor</w:t>
            </w:r>
            <w:proofErr w:type="spellEnd"/>
            <w:r w:rsidR="00E06D60" w:rsidRPr="000B038D">
              <w:rPr>
                <w:sz w:val="22"/>
                <w:szCs w:val="22"/>
                <w:lang w:val="it-IT"/>
              </w:rPr>
              <w:t xml:space="preserve"> </w:t>
            </w:r>
            <w:proofErr w:type="spellStart"/>
            <w:r w:rsidR="00E06D60" w:rsidRPr="000B038D">
              <w:rPr>
                <w:sz w:val="22"/>
                <w:szCs w:val="22"/>
                <w:lang w:val="it-IT"/>
              </w:rPr>
              <w:t>în</w:t>
            </w:r>
            <w:proofErr w:type="spellEnd"/>
            <w:r w:rsidR="00E06D60" w:rsidRPr="000B038D">
              <w:rPr>
                <w:sz w:val="22"/>
                <w:szCs w:val="22"/>
                <w:lang w:val="it-IT"/>
              </w:rPr>
              <w:t xml:space="preserve"> </w:t>
            </w:r>
            <w:proofErr w:type="spellStart"/>
            <w:r w:rsidR="00E06D60" w:rsidRPr="000B038D">
              <w:rPr>
                <w:sz w:val="22"/>
                <w:szCs w:val="22"/>
                <w:lang w:val="it-IT"/>
              </w:rPr>
              <w:t>reţelele</w:t>
            </w:r>
            <w:proofErr w:type="spellEnd"/>
            <w:r w:rsidR="00E06D60" w:rsidRPr="000B038D">
              <w:rPr>
                <w:sz w:val="22"/>
                <w:szCs w:val="22"/>
                <w:lang w:val="it-IT"/>
              </w:rPr>
              <w:t xml:space="preserve"> de </w:t>
            </w:r>
            <w:proofErr w:type="spellStart"/>
            <w:r w:rsidR="00E06D60" w:rsidRPr="000B038D">
              <w:rPr>
                <w:sz w:val="22"/>
                <w:szCs w:val="22"/>
                <w:lang w:val="it-IT"/>
              </w:rPr>
              <w:t>transport</w:t>
            </w:r>
            <w:proofErr w:type="spellEnd"/>
            <w:r w:rsidR="00E06D60" w:rsidRPr="000B038D">
              <w:rPr>
                <w:sz w:val="22"/>
                <w:szCs w:val="22"/>
                <w:lang w:val="it-IT"/>
              </w:rPr>
              <w:t xml:space="preserve"> al </w:t>
            </w:r>
            <w:proofErr w:type="spellStart"/>
            <w:r w:rsidR="00E06D60" w:rsidRPr="000B038D">
              <w:rPr>
                <w:sz w:val="22"/>
                <w:szCs w:val="22"/>
                <w:lang w:val="it-IT"/>
              </w:rPr>
              <w:t>gazelor</w:t>
            </w:r>
            <w:proofErr w:type="spellEnd"/>
            <w:r w:rsidR="00E06D60" w:rsidRPr="000B038D">
              <w:rPr>
                <w:sz w:val="22"/>
                <w:szCs w:val="22"/>
                <w:lang w:val="it-IT"/>
              </w:rPr>
              <w:t xml:space="preserve"> naturale. </w:t>
            </w:r>
            <w:proofErr w:type="spellStart"/>
            <w:r w:rsidR="00E06D60" w:rsidRPr="000B038D">
              <w:rPr>
                <w:sz w:val="22"/>
                <w:szCs w:val="22"/>
                <w:lang w:val="it-IT"/>
              </w:rPr>
              <w:t>Condiţiile</w:t>
            </w:r>
            <w:proofErr w:type="spellEnd"/>
            <w:r w:rsidR="00E06D60" w:rsidRPr="000B038D">
              <w:rPr>
                <w:sz w:val="22"/>
                <w:szCs w:val="22"/>
                <w:lang w:val="it-IT"/>
              </w:rPr>
              <w:t xml:space="preserve">, </w:t>
            </w:r>
            <w:proofErr w:type="spellStart"/>
            <w:r w:rsidR="00E06D60" w:rsidRPr="000B038D">
              <w:rPr>
                <w:sz w:val="22"/>
                <w:szCs w:val="22"/>
                <w:lang w:val="it-IT"/>
              </w:rPr>
              <w:t>inclusiv</w:t>
            </w:r>
            <w:proofErr w:type="spellEnd"/>
            <w:r w:rsidR="00E06D60" w:rsidRPr="000B038D">
              <w:rPr>
                <w:sz w:val="22"/>
                <w:szCs w:val="22"/>
                <w:lang w:val="it-IT"/>
              </w:rPr>
              <w:t xml:space="preserve"> </w:t>
            </w:r>
            <w:proofErr w:type="spellStart"/>
            <w:r w:rsidR="00E06D60" w:rsidRPr="000B038D">
              <w:rPr>
                <w:sz w:val="22"/>
                <w:szCs w:val="22"/>
                <w:lang w:val="it-IT"/>
              </w:rPr>
              <w:t>regulile</w:t>
            </w:r>
            <w:proofErr w:type="spellEnd"/>
            <w:r w:rsidR="00E06D60" w:rsidRPr="000B038D">
              <w:rPr>
                <w:sz w:val="22"/>
                <w:szCs w:val="22"/>
                <w:lang w:val="it-IT"/>
              </w:rPr>
              <w:t xml:space="preserve"> </w:t>
            </w:r>
            <w:proofErr w:type="spellStart"/>
            <w:r w:rsidR="00E06D60" w:rsidRPr="000B038D">
              <w:rPr>
                <w:sz w:val="22"/>
                <w:szCs w:val="22"/>
                <w:lang w:val="it-IT"/>
              </w:rPr>
              <w:t>şi</w:t>
            </w:r>
            <w:proofErr w:type="spellEnd"/>
            <w:r w:rsidR="00E06D60" w:rsidRPr="000B038D">
              <w:rPr>
                <w:sz w:val="22"/>
                <w:szCs w:val="22"/>
                <w:lang w:val="it-IT"/>
              </w:rPr>
              <w:t xml:space="preserve"> </w:t>
            </w:r>
            <w:proofErr w:type="spellStart"/>
            <w:r w:rsidR="00E06D60" w:rsidRPr="000B038D">
              <w:rPr>
                <w:sz w:val="22"/>
                <w:szCs w:val="22"/>
                <w:lang w:val="it-IT"/>
              </w:rPr>
              <w:t>tarifele</w:t>
            </w:r>
            <w:proofErr w:type="spellEnd"/>
            <w:r w:rsidR="00E06D60" w:rsidRPr="000B038D">
              <w:rPr>
                <w:sz w:val="22"/>
                <w:szCs w:val="22"/>
                <w:lang w:val="it-IT"/>
              </w:rPr>
              <w:t xml:space="preserve"> </w:t>
            </w:r>
            <w:proofErr w:type="spellStart"/>
            <w:r w:rsidR="00E06D60" w:rsidRPr="000B038D">
              <w:rPr>
                <w:sz w:val="22"/>
                <w:szCs w:val="22"/>
                <w:lang w:val="it-IT"/>
              </w:rPr>
              <w:t>pentru</w:t>
            </w:r>
            <w:proofErr w:type="spellEnd"/>
            <w:r w:rsidR="00E06D60" w:rsidRPr="000B038D">
              <w:rPr>
                <w:sz w:val="22"/>
                <w:szCs w:val="22"/>
                <w:lang w:val="it-IT"/>
              </w:rPr>
              <w:t xml:space="preserve"> </w:t>
            </w:r>
            <w:proofErr w:type="spellStart"/>
            <w:r w:rsidR="00E06D60" w:rsidRPr="000B038D">
              <w:rPr>
                <w:sz w:val="22"/>
                <w:szCs w:val="22"/>
                <w:lang w:val="it-IT"/>
              </w:rPr>
              <w:t>prestarea</w:t>
            </w:r>
            <w:proofErr w:type="spellEnd"/>
            <w:r w:rsidR="00E06D60" w:rsidRPr="000B038D">
              <w:rPr>
                <w:sz w:val="22"/>
                <w:szCs w:val="22"/>
                <w:lang w:val="it-IT"/>
              </w:rPr>
              <w:t xml:space="preserve"> </w:t>
            </w:r>
            <w:proofErr w:type="spellStart"/>
            <w:r w:rsidR="00E06D60" w:rsidRPr="000B038D">
              <w:rPr>
                <w:sz w:val="22"/>
                <w:szCs w:val="22"/>
                <w:lang w:val="it-IT"/>
              </w:rPr>
              <w:t>serviciilor</w:t>
            </w:r>
            <w:proofErr w:type="spellEnd"/>
            <w:r w:rsidR="00E06D60" w:rsidRPr="000B038D">
              <w:rPr>
                <w:sz w:val="22"/>
                <w:szCs w:val="22"/>
                <w:lang w:val="it-IT"/>
              </w:rPr>
              <w:t xml:space="preserve"> de </w:t>
            </w:r>
            <w:proofErr w:type="spellStart"/>
            <w:r w:rsidR="00E06D60" w:rsidRPr="000B038D">
              <w:rPr>
                <w:sz w:val="22"/>
                <w:szCs w:val="22"/>
                <w:lang w:val="it-IT"/>
              </w:rPr>
              <w:t>către</w:t>
            </w:r>
            <w:proofErr w:type="spellEnd"/>
            <w:r w:rsidR="00E06D60" w:rsidRPr="000B038D">
              <w:rPr>
                <w:sz w:val="22"/>
                <w:szCs w:val="22"/>
                <w:lang w:val="it-IT"/>
              </w:rPr>
              <w:t xml:space="preserve"> </w:t>
            </w:r>
            <w:proofErr w:type="spellStart"/>
            <w:r w:rsidR="00E06D60" w:rsidRPr="000B038D">
              <w:rPr>
                <w:sz w:val="22"/>
                <w:szCs w:val="22"/>
                <w:lang w:val="it-IT"/>
              </w:rPr>
              <w:t>operatorul</w:t>
            </w:r>
            <w:proofErr w:type="spellEnd"/>
            <w:r w:rsidR="00E06D60" w:rsidRPr="000B038D">
              <w:rPr>
                <w:sz w:val="22"/>
                <w:szCs w:val="22"/>
                <w:lang w:val="it-IT"/>
              </w:rPr>
              <w:t xml:space="preserve"> </w:t>
            </w:r>
            <w:proofErr w:type="spellStart"/>
            <w:r w:rsidR="00E06D60" w:rsidRPr="000B038D">
              <w:rPr>
                <w:sz w:val="22"/>
                <w:szCs w:val="22"/>
                <w:lang w:val="it-IT"/>
              </w:rPr>
              <w:t>sistemului</w:t>
            </w:r>
            <w:proofErr w:type="spellEnd"/>
            <w:r w:rsidR="00E06D60" w:rsidRPr="000B038D">
              <w:rPr>
                <w:sz w:val="22"/>
                <w:szCs w:val="22"/>
                <w:lang w:val="it-IT"/>
              </w:rPr>
              <w:t xml:space="preserve"> de </w:t>
            </w:r>
            <w:proofErr w:type="spellStart"/>
            <w:r w:rsidR="00E06D60" w:rsidRPr="000B038D">
              <w:rPr>
                <w:sz w:val="22"/>
                <w:szCs w:val="22"/>
                <w:lang w:val="it-IT"/>
              </w:rPr>
              <w:t>transport</w:t>
            </w:r>
            <w:proofErr w:type="spellEnd"/>
            <w:r w:rsidR="00E06D60" w:rsidRPr="000B038D">
              <w:rPr>
                <w:sz w:val="22"/>
                <w:szCs w:val="22"/>
                <w:lang w:val="it-IT"/>
              </w:rPr>
              <w:t xml:space="preserve">, se </w:t>
            </w:r>
            <w:proofErr w:type="spellStart"/>
            <w:r w:rsidR="00E06D60" w:rsidRPr="000B038D">
              <w:rPr>
                <w:sz w:val="22"/>
                <w:szCs w:val="22"/>
                <w:lang w:val="it-IT"/>
              </w:rPr>
              <w:t>stabilesc</w:t>
            </w:r>
            <w:proofErr w:type="spellEnd"/>
            <w:r w:rsidR="00E06D60" w:rsidRPr="000B038D">
              <w:rPr>
                <w:sz w:val="22"/>
                <w:szCs w:val="22"/>
                <w:lang w:val="it-IT"/>
              </w:rPr>
              <w:t xml:space="preserve"> </w:t>
            </w:r>
            <w:proofErr w:type="spellStart"/>
            <w:r w:rsidR="00E06D60" w:rsidRPr="000B038D">
              <w:rPr>
                <w:sz w:val="22"/>
                <w:szCs w:val="22"/>
                <w:lang w:val="it-IT"/>
              </w:rPr>
              <w:t>în</w:t>
            </w:r>
            <w:proofErr w:type="spellEnd"/>
            <w:r w:rsidR="00E06D60" w:rsidRPr="000B038D">
              <w:rPr>
                <w:sz w:val="22"/>
                <w:szCs w:val="22"/>
                <w:lang w:val="it-IT"/>
              </w:rPr>
              <w:t xml:space="preserve"> </w:t>
            </w:r>
            <w:proofErr w:type="spellStart"/>
            <w:r w:rsidR="00E06D60" w:rsidRPr="000B038D">
              <w:rPr>
                <w:sz w:val="22"/>
                <w:szCs w:val="22"/>
                <w:lang w:val="it-IT"/>
              </w:rPr>
              <w:t>mod</w:t>
            </w:r>
            <w:proofErr w:type="spellEnd"/>
            <w:r w:rsidR="00E06D60" w:rsidRPr="000B038D">
              <w:rPr>
                <w:sz w:val="22"/>
                <w:szCs w:val="22"/>
                <w:lang w:val="it-IT"/>
              </w:rPr>
              <w:t xml:space="preserve"> </w:t>
            </w:r>
            <w:proofErr w:type="spellStart"/>
            <w:r w:rsidR="00E06D60" w:rsidRPr="000B038D">
              <w:rPr>
                <w:sz w:val="22"/>
                <w:szCs w:val="22"/>
                <w:lang w:val="it-IT"/>
              </w:rPr>
              <w:t>nediscriminatoriu</w:t>
            </w:r>
            <w:proofErr w:type="spellEnd"/>
            <w:r w:rsidR="00E06D60" w:rsidRPr="000B038D">
              <w:rPr>
                <w:sz w:val="22"/>
                <w:szCs w:val="22"/>
                <w:lang w:val="it-IT"/>
              </w:rPr>
              <w:t xml:space="preserve">. </w:t>
            </w:r>
            <w:proofErr w:type="spellStart"/>
            <w:r w:rsidR="00E06D60" w:rsidRPr="000B038D">
              <w:rPr>
                <w:sz w:val="22"/>
                <w:szCs w:val="22"/>
                <w:lang w:val="it-IT"/>
              </w:rPr>
              <w:t>Tarifele</w:t>
            </w:r>
            <w:proofErr w:type="spellEnd"/>
            <w:r w:rsidR="00E06D60" w:rsidRPr="000B038D">
              <w:rPr>
                <w:sz w:val="22"/>
                <w:szCs w:val="22"/>
                <w:lang w:val="it-IT"/>
              </w:rPr>
              <w:t xml:space="preserve"> </w:t>
            </w:r>
            <w:proofErr w:type="spellStart"/>
            <w:r w:rsidR="00E06D60" w:rsidRPr="000B038D">
              <w:rPr>
                <w:sz w:val="22"/>
                <w:szCs w:val="22"/>
                <w:lang w:val="it-IT"/>
              </w:rPr>
              <w:t>trebuie</w:t>
            </w:r>
            <w:proofErr w:type="spellEnd"/>
            <w:r w:rsidR="00E06D60" w:rsidRPr="000B038D">
              <w:rPr>
                <w:sz w:val="22"/>
                <w:szCs w:val="22"/>
                <w:lang w:val="it-IT"/>
              </w:rPr>
              <w:t xml:space="preserve"> </w:t>
            </w:r>
            <w:proofErr w:type="spellStart"/>
            <w:r w:rsidR="00E06D60" w:rsidRPr="000B038D">
              <w:rPr>
                <w:sz w:val="22"/>
                <w:szCs w:val="22"/>
                <w:lang w:val="it-IT"/>
              </w:rPr>
              <w:t>să</w:t>
            </w:r>
            <w:proofErr w:type="spellEnd"/>
            <w:r w:rsidR="00E06D60" w:rsidRPr="000B038D">
              <w:rPr>
                <w:sz w:val="22"/>
                <w:szCs w:val="22"/>
                <w:lang w:val="it-IT"/>
              </w:rPr>
              <w:t xml:space="preserve"> </w:t>
            </w:r>
            <w:proofErr w:type="spellStart"/>
            <w:r w:rsidR="00E06D60" w:rsidRPr="000B038D">
              <w:rPr>
                <w:sz w:val="22"/>
                <w:szCs w:val="22"/>
                <w:lang w:val="it-IT"/>
              </w:rPr>
              <w:t>reflecte</w:t>
            </w:r>
            <w:proofErr w:type="spellEnd"/>
            <w:r w:rsidR="00E06D60" w:rsidRPr="000B038D">
              <w:rPr>
                <w:sz w:val="22"/>
                <w:szCs w:val="22"/>
                <w:lang w:val="it-IT"/>
              </w:rPr>
              <w:t xml:space="preserve"> </w:t>
            </w:r>
            <w:proofErr w:type="spellStart"/>
            <w:r w:rsidR="00E06D60" w:rsidRPr="000B038D">
              <w:rPr>
                <w:sz w:val="22"/>
                <w:szCs w:val="22"/>
                <w:lang w:val="it-IT"/>
              </w:rPr>
              <w:t>costurile</w:t>
            </w:r>
            <w:proofErr w:type="spellEnd"/>
            <w:r w:rsidR="00E06D60" w:rsidRPr="000B038D">
              <w:rPr>
                <w:sz w:val="22"/>
                <w:szCs w:val="22"/>
                <w:lang w:val="it-IT"/>
              </w:rPr>
              <w:t xml:space="preserve"> </w:t>
            </w:r>
            <w:proofErr w:type="spellStart"/>
            <w:r w:rsidR="00E06D60" w:rsidRPr="000B038D">
              <w:rPr>
                <w:sz w:val="22"/>
                <w:szCs w:val="22"/>
                <w:lang w:val="it-IT"/>
              </w:rPr>
              <w:t>şi</w:t>
            </w:r>
            <w:proofErr w:type="spellEnd"/>
            <w:r w:rsidR="00E06D60" w:rsidRPr="000B038D">
              <w:rPr>
                <w:sz w:val="22"/>
                <w:szCs w:val="22"/>
                <w:lang w:val="it-IT"/>
              </w:rPr>
              <w:t xml:space="preserve"> </w:t>
            </w:r>
            <w:proofErr w:type="spellStart"/>
            <w:r w:rsidR="00E06D60" w:rsidRPr="000B038D">
              <w:rPr>
                <w:sz w:val="22"/>
                <w:szCs w:val="22"/>
                <w:lang w:val="it-IT"/>
              </w:rPr>
              <w:t>să</w:t>
            </w:r>
            <w:proofErr w:type="spellEnd"/>
            <w:r w:rsidR="00E06D60" w:rsidRPr="000B038D">
              <w:rPr>
                <w:sz w:val="22"/>
                <w:szCs w:val="22"/>
                <w:lang w:val="it-IT"/>
              </w:rPr>
              <w:t xml:space="preserve"> </w:t>
            </w:r>
            <w:proofErr w:type="spellStart"/>
            <w:r w:rsidR="00E06D60" w:rsidRPr="000B038D">
              <w:rPr>
                <w:sz w:val="22"/>
                <w:szCs w:val="22"/>
                <w:lang w:val="it-IT"/>
              </w:rPr>
              <w:t>fie</w:t>
            </w:r>
            <w:proofErr w:type="spellEnd"/>
            <w:r w:rsidR="00E06D60" w:rsidRPr="000B038D">
              <w:rPr>
                <w:sz w:val="22"/>
                <w:szCs w:val="22"/>
                <w:lang w:val="it-IT"/>
              </w:rPr>
              <w:t xml:space="preserve"> </w:t>
            </w:r>
            <w:proofErr w:type="spellStart"/>
            <w:r w:rsidR="00E06D60" w:rsidRPr="000B038D">
              <w:rPr>
                <w:sz w:val="22"/>
                <w:szCs w:val="22"/>
                <w:lang w:val="it-IT"/>
              </w:rPr>
              <w:t>publicate</w:t>
            </w:r>
            <w:proofErr w:type="spellEnd"/>
            <w:r w:rsidR="00E06D60" w:rsidRPr="000B038D">
              <w:rPr>
                <w:sz w:val="22"/>
                <w:szCs w:val="22"/>
                <w:lang w:val="it-IT"/>
              </w:rPr>
              <w:t xml:space="preserve"> </w:t>
            </w:r>
            <w:proofErr w:type="spellStart"/>
            <w:r w:rsidR="00E06D60" w:rsidRPr="000B038D">
              <w:rPr>
                <w:sz w:val="22"/>
                <w:szCs w:val="22"/>
                <w:lang w:val="it-IT"/>
              </w:rPr>
              <w:t>după</w:t>
            </w:r>
            <w:proofErr w:type="spellEnd"/>
            <w:r w:rsidR="00E06D60" w:rsidRPr="000B038D">
              <w:rPr>
                <w:sz w:val="22"/>
                <w:szCs w:val="22"/>
                <w:lang w:val="it-IT"/>
              </w:rPr>
              <w:t xml:space="preserve"> </w:t>
            </w:r>
            <w:proofErr w:type="spellStart"/>
            <w:r w:rsidR="00E06D60" w:rsidRPr="000B038D">
              <w:rPr>
                <w:sz w:val="22"/>
                <w:szCs w:val="22"/>
                <w:lang w:val="it-IT"/>
              </w:rPr>
              <w:t>aprobarea</w:t>
            </w:r>
            <w:proofErr w:type="spellEnd"/>
            <w:r w:rsidR="00E06D60" w:rsidRPr="000B038D">
              <w:rPr>
                <w:sz w:val="22"/>
                <w:szCs w:val="22"/>
                <w:lang w:val="it-IT"/>
              </w:rPr>
              <w:t xml:space="preserve"> lor de </w:t>
            </w:r>
            <w:proofErr w:type="spellStart"/>
            <w:r w:rsidR="00E06D60" w:rsidRPr="000B038D">
              <w:rPr>
                <w:sz w:val="22"/>
                <w:szCs w:val="22"/>
                <w:lang w:val="it-IT"/>
              </w:rPr>
              <w:t>către</w:t>
            </w:r>
            <w:proofErr w:type="spellEnd"/>
            <w:r w:rsidR="00E06D60" w:rsidRPr="000B038D">
              <w:rPr>
                <w:sz w:val="22"/>
                <w:szCs w:val="22"/>
                <w:lang w:val="it-IT"/>
              </w:rPr>
              <w:t xml:space="preserve"> </w:t>
            </w:r>
            <w:proofErr w:type="spellStart"/>
            <w:r w:rsidR="00E06D60" w:rsidRPr="000B038D">
              <w:rPr>
                <w:sz w:val="22"/>
                <w:szCs w:val="22"/>
                <w:lang w:val="it-IT"/>
              </w:rPr>
              <w:t>Agenţie</w:t>
            </w:r>
            <w:proofErr w:type="spellEnd"/>
            <w:r w:rsidR="00E06D60" w:rsidRPr="000B038D">
              <w:rPr>
                <w:sz w:val="22"/>
                <w:szCs w:val="22"/>
                <w:lang w:val="it-IT"/>
              </w:rPr>
              <w:t xml:space="preserve">. nr. 11/24-2942 </w:t>
            </w:r>
            <w:proofErr w:type="spellStart"/>
            <w:r w:rsidR="00E06D60" w:rsidRPr="000B038D">
              <w:rPr>
                <w:sz w:val="22"/>
                <w:szCs w:val="22"/>
                <w:lang w:val="it-IT"/>
              </w:rPr>
              <w:t>din</w:t>
            </w:r>
            <w:proofErr w:type="spellEnd"/>
            <w:r w:rsidR="00E06D60" w:rsidRPr="000B038D">
              <w:rPr>
                <w:sz w:val="22"/>
                <w:szCs w:val="22"/>
                <w:lang w:val="it-IT"/>
              </w:rPr>
              <w:t xml:space="preserve"> 03.09.2024 la nr. 04-04/4092 </w:t>
            </w:r>
            <w:proofErr w:type="spellStart"/>
            <w:r w:rsidR="00E06D60" w:rsidRPr="000B038D">
              <w:rPr>
                <w:sz w:val="22"/>
                <w:szCs w:val="22"/>
                <w:lang w:val="it-IT"/>
              </w:rPr>
              <w:t>din</w:t>
            </w:r>
            <w:proofErr w:type="spellEnd"/>
            <w:r w:rsidR="00E06D60" w:rsidRPr="000B038D">
              <w:rPr>
                <w:sz w:val="22"/>
                <w:szCs w:val="22"/>
                <w:lang w:val="it-IT"/>
              </w:rPr>
              <w:t xml:space="preserve"> 16.08.2024 </w:t>
            </w:r>
            <w:proofErr w:type="spellStart"/>
            <w:r w:rsidR="00E06D60" w:rsidRPr="000B038D">
              <w:rPr>
                <w:sz w:val="22"/>
                <w:szCs w:val="22"/>
                <w:lang w:val="it-IT"/>
              </w:rPr>
              <w:t>Totodată</w:t>
            </w:r>
            <w:proofErr w:type="spellEnd"/>
            <w:r w:rsidR="00E06D60" w:rsidRPr="000B038D">
              <w:rPr>
                <w:sz w:val="22"/>
                <w:szCs w:val="22"/>
                <w:lang w:val="it-IT"/>
              </w:rPr>
              <w:t xml:space="preserve">, </w:t>
            </w:r>
            <w:proofErr w:type="spellStart"/>
            <w:r w:rsidR="00E06D60" w:rsidRPr="000B038D">
              <w:rPr>
                <w:sz w:val="22"/>
                <w:szCs w:val="22"/>
                <w:lang w:val="it-IT"/>
              </w:rPr>
              <w:t>pornind</w:t>
            </w:r>
            <w:proofErr w:type="spellEnd"/>
            <w:r w:rsidR="00E06D60" w:rsidRPr="000B038D">
              <w:rPr>
                <w:sz w:val="22"/>
                <w:szCs w:val="22"/>
                <w:lang w:val="it-IT"/>
              </w:rPr>
              <w:t xml:space="preserve"> de la Metodologia de </w:t>
            </w:r>
            <w:proofErr w:type="spellStart"/>
            <w:r w:rsidR="00E06D60" w:rsidRPr="000B038D">
              <w:rPr>
                <w:sz w:val="22"/>
                <w:szCs w:val="22"/>
                <w:lang w:val="it-IT"/>
              </w:rPr>
              <w:t>calculare</w:t>
            </w:r>
            <w:proofErr w:type="spellEnd"/>
            <w:r w:rsidR="00E06D60" w:rsidRPr="000B038D">
              <w:rPr>
                <w:sz w:val="22"/>
                <w:szCs w:val="22"/>
                <w:lang w:val="it-IT"/>
              </w:rPr>
              <w:t xml:space="preserve">, </w:t>
            </w:r>
            <w:proofErr w:type="spellStart"/>
            <w:r w:rsidR="00E06D60" w:rsidRPr="000B038D">
              <w:rPr>
                <w:sz w:val="22"/>
                <w:szCs w:val="22"/>
                <w:lang w:val="it-IT"/>
              </w:rPr>
              <w:t>aprobare</w:t>
            </w:r>
            <w:proofErr w:type="spellEnd"/>
            <w:r w:rsidR="00E06D60" w:rsidRPr="000B038D">
              <w:rPr>
                <w:sz w:val="22"/>
                <w:szCs w:val="22"/>
                <w:lang w:val="it-IT"/>
              </w:rPr>
              <w:t xml:space="preserve"> </w:t>
            </w:r>
            <w:proofErr w:type="spellStart"/>
            <w:r w:rsidR="00E06D60" w:rsidRPr="000B038D">
              <w:rPr>
                <w:sz w:val="22"/>
                <w:szCs w:val="22"/>
                <w:lang w:val="it-IT"/>
              </w:rPr>
              <w:t>și</w:t>
            </w:r>
            <w:proofErr w:type="spellEnd"/>
            <w:r w:rsidR="00E06D60" w:rsidRPr="000B038D">
              <w:rPr>
                <w:sz w:val="22"/>
                <w:szCs w:val="22"/>
                <w:lang w:val="it-IT"/>
              </w:rPr>
              <w:t xml:space="preserve"> </w:t>
            </w:r>
            <w:proofErr w:type="spellStart"/>
            <w:r w:rsidR="00E06D60" w:rsidRPr="000B038D">
              <w:rPr>
                <w:sz w:val="22"/>
                <w:szCs w:val="22"/>
                <w:lang w:val="it-IT"/>
              </w:rPr>
              <w:t>aplicare</w:t>
            </w:r>
            <w:proofErr w:type="spellEnd"/>
            <w:r w:rsidR="00E06D60" w:rsidRPr="000B038D">
              <w:rPr>
                <w:sz w:val="22"/>
                <w:szCs w:val="22"/>
                <w:lang w:val="it-IT"/>
              </w:rPr>
              <w:t xml:space="preserve"> a </w:t>
            </w:r>
            <w:proofErr w:type="spellStart"/>
            <w:r w:rsidR="00E06D60" w:rsidRPr="000B038D">
              <w:rPr>
                <w:sz w:val="22"/>
                <w:szCs w:val="22"/>
                <w:lang w:val="it-IT"/>
              </w:rPr>
              <w:t>tarifelor</w:t>
            </w:r>
            <w:proofErr w:type="spellEnd"/>
            <w:r w:rsidR="00E06D60" w:rsidRPr="000B038D">
              <w:rPr>
                <w:sz w:val="22"/>
                <w:szCs w:val="22"/>
                <w:lang w:val="it-IT"/>
              </w:rPr>
              <w:t xml:space="preserve"> </w:t>
            </w:r>
            <w:proofErr w:type="spellStart"/>
            <w:r w:rsidR="00E06D60" w:rsidRPr="000B038D">
              <w:rPr>
                <w:sz w:val="22"/>
                <w:szCs w:val="22"/>
                <w:lang w:val="it-IT"/>
              </w:rPr>
              <w:t>pentru</w:t>
            </w:r>
            <w:proofErr w:type="spellEnd"/>
            <w:r w:rsidR="00E06D60" w:rsidRPr="000B038D">
              <w:rPr>
                <w:sz w:val="22"/>
                <w:szCs w:val="22"/>
                <w:lang w:val="it-IT"/>
              </w:rPr>
              <w:t xml:space="preserve"> </w:t>
            </w:r>
            <w:proofErr w:type="spellStart"/>
            <w:r w:rsidR="00E06D60" w:rsidRPr="000B038D">
              <w:rPr>
                <w:sz w:val="22"/>
                <w:szCs w:val="22"/>
                <w:lang w:val="it-IT"/>
              </w:rPr>
              <w:t>serviciul</w:t>
            </w:r>
            <w:proofErr w:type="spellEnd"/>
            <w:r w:rsidR="00E06D60" w:rsidRPr="000B038D">
              <w:rPr>
                <w:sz w:val="22"/>
                <w:szCs w:val="22"/>
                <w:lang w:val="it-IT"/>
              </w:rPr>
              <w:t xml:space="preserve"> de </w:t>
            </w:r>
            <w:proofErr w:type="spellStart"/>
            <w:r w:rsidR="00E06D60" w:rsidRPr="000B038D">
              <w:rPr>
                <w:sz w:val="22"/>
                <w:szCs w:val="22"/>
                <w:lang w:val="it-IT"/>
              </w:rPr>
              <w:t>transport</w:t>
            </w:r>
            <w:proofErr w:type="spellEnd"/>
            <w:r w:rsidR="00E06D60" w:rsidRPr="000B038D">
              <w:rPr>
                <w:sz w:val="22"/>
                <w:szCs w:val="22"/>
                <w:lang w:val="it-IT"/>
              </w:rPr>
              <w:t xml:space="preserve"> al </w:t>
            </w:r>
            <w:proofErr w:type="spellStart"/>
            <w:r w:rsidR="00E06D60" w:rsidRPr="000B038D">
              <w:rPr>
                <w:sz w:val="22"/>
                <w:szCs w:val="22"/>
                <w:lang w:val="it-IT"/>
              </w:rPr>
              <w:t>gazelor</w:t>
            </w:r>
            <w:proofErr w:type="spellEnd"/>
            <w:r w:rsidR="00E06D60" w:rsidRPr="000B038D">
              <w:rPr>
                <w:sz w:val="22"/>
                <w:szCs w:val="22"/>
                <w:lang w:val="it-IT"/>
              </w:rPr>
              <w:t xml:space="preserve"> naturale, </w:t>
            </w:r>
            <w:proofErr w:type="spellStart"/>
            <w:r w:rsidR="00E06D60" w:rsidRPr="000B038D">
              <w:rPr>
                <w:sz w:val="22"/>
                <w:szCs w:val="22"/>
                <w:lang w:val="it-IT"/>
              </w:rPr>
              <w:t>aprobată</w:t>
            </w:r>
            <w:proofErr w:type="spellEnd"/>
            <w:r w:rsidR="00E06D60" w:rsidRPr="000B038D">
              <w:rPr>
                <w:sz w:val="22"/>
                <w:szCs w:val="22"/>
                <w:lang w:val="it-IT"/>
              </w:rPr>
              <w:t xml:space="preserve"> </w:t>
            </w:r>
            <w:proofErr w:type="spellStart"/>
            <w:r w:rsidR="00E06D60" w:rsidRPr="000B038D">
              <w:rPr>
                <w:sz w:val="22"/>
                <w:szCs w:val="22"/>
                <w:lang w:val="it-IT"/>
              </w:rPr>
              <w:t>prin</w:t>
            </w:r>
            <w:proofErr w:type="spellEnd"/>
            <w:r w:rsidR="00E06D60" w:rsidRPr="000B038D">
              <w:rPr>
                <w:sz w:val="22"/>
                <w:szCs w:val="22"/>
                <w:lang w:val="it-IT"/>
              </w:rPr>
              <w:t xml:space="preserve"> HCA ANRE nr.535/2019, </w:t>
            </w:r>
            <w:proofErr w:type="spellStart"/>
            <w:r w:rsidR="00E06D60" w:rsidRPr="000B038D">
              <w:rPr>
                <w:sz w:val="22"/>
                <w:szCs w:val="22"/>
                <w:lang w:val="it-IT"/>
              </w:rPr>
              <w:t>observăm</w:t>
            </w:r>
            <w:proofErr w:type="spellEnd"/>
            <w:r w:rsidR="00E06D60" w:rsidRPr="000B038D">
              <w:rPr>
                <w:sz w:val="22"/>
                <w:szCs w:val="22"/>
                <w:lang w:val="it-IT"/>
              </w:rPr>
              <w:t xml:space="preserve"> </w:t>
            </w:r>
            <w:proofErr w:type="spellStart"/>
            <w:r w:rsidR="00E06D60" w:rsidRPr="000B038D">
              <w:rPr>
                <w:sz w:val="22"/>
                <w:szCs w:val="22"/>
                <w:lang w:val="it-IT"/>
              </w:rPr>
              <w:t>că</w:t>
            </w:r>
            <w:proofErr w:type="spellEnd"/>
            <w:r w:rsidR="00E06D60" w:rsidRPr="000B038D">
              <w:rPr>
                <w:sz w:val="22"/>
                <w:szCs w:val="22"/>
                <w:lang w:val="it-IT"/>
              </w:rPr>
              <w:t xml:space="preserve"> </w:t>
            </w:r>
            <w:proofErr w:type="spellStart"/>
            <w:r w:rsidR="00E06D60" w:rsidRPr="000B038D">
              <w:rPr>
                <w:sz w:val="22"/>
                <w:szCs w:val="22"/>
                <w:lang w:val="it-IT"/>
              </w:rPr>
              <w:t>în</w:t>
            </w:r>
            <w:proofErr w:type="spellEnd"/>
            <w:r w:rsidR="00E06D60" w:rsidRPr="000B038D">
              <w:rPr>
                <w:sz w:val="22"/>
                <w:szCs w:val="22"/>
                <w:lang w:val="it-IT"/>
              </w:rPr>
              <w:t xml:space="preserve"> </w:t>
            </w:r>
            <w:proofErr w:type="spellStart"/>
            <w:r w:rsidR="00E06D60" w:rsidRPr="000B038D">
              <w:rPr>
                <w:sz w:val="22"/>
                <w:szCs w:val="22"/>
                <w:lang w:val="it-IT"/>
              </w:rPr>
              <w:t>structura</w:t>
            </w:r>
            <w:proofErr w:type="spellEnd"/>
            <w:r w:rsidR="00E06D60" w:rsidRPr="000B038D">
              <w:rPr>
                <w:sz w:val="22"/>
                <w:szCs w:val="22"/>
                <w:lang w:val="it-IT"/>
              </w:rPr>
              <w:t xml:space="preserve"> </w:t>
            </w:r>
            <w:proofErr w:type="spellStart"/>
            <w:r w:rsidR="00E06D60" w:rsidRPr="000B038D">
              <w:rPr>
                <w:sz w:val="22"/>
                <w:szCs w:val="22"/>
                <w:lang w:val="it-IT"/>
              </w:rPr>
              <w:t>tarifului</w:t>
            </w:r>
            <w:proofErr w:type="spellEnd"/>
            <w:r w:rsidR="00E06D60" w:rsidRPr="000B038D">
              <w:rPr>
                <w:sz w:val="22"/>
                <w:szCs w:val="22"/>
                <w:lang w:val="it-IT"/>
              </w:rPr>
              <w:t xml:space="preserve"> </w:t>
            </w:r>
            <w:proofErr w:type="spellStart"/>
            <w:r w:rsidR="00E06D60" w:rsidRPr="000B038D">
              <w:rPr>
                <w:sz w:val="22"/>
                <w:szCs w:val="22"/>
                <w:lang w:val="it-IT"/>
              </w:rPr>
              <w:t>reglementat</w:t>
            </w:r>
            <w:proofErr w:type="spellEnd"/>
            <w:r w:rsidR="00E06D60" w:rsidRPr="000B038D">
              <w:rPr>
                <w:sz w:val="22"/>
                <w:szCs w:val="22"/>
                <w:lang w:val="it-IT"/>
              </w:rPr>
              <w:t xml:space="preserve"> </w:t>
            </w:r>
            <w:proofErr w:type="spellStart"/>
            <w:r w:rsidR="00E06D60" w:rsidRPr="000B038D">
              <w:rPr>
                <w:sz w:val="22"/>
                <w:szCs w:val="22"/>
                <w:lang w:val="it-IT"/>
              </w:rPr>
              <w:t>pentru</w:t>
            </w:r>
            <w:proofErr w:type="spellEnd"/>
            <w:r w:rsidR="00E06D60" w:rsidRPr="000B038D">
              <w:rPr>
                <w:sz w:val="22"/>
                <w:szCs w:val="22"/>
                <w:lang w:val="it-IT"/>
              </w:rPr>
              <w:t xml:space="preserve"> </w:t>
            </w:r>
            <w:proofErr w:type="spellStart"/>
            <w:r w:rsidR="00E06D60" w:rsidRPr="000B038D">
              <w:rPr>
                <w:sz w:val="22"/>
                <w:szCs w:val="22"/>
                <w:lang w:val="it-IT"/>
              </w:rPr>
              <w:t>serviciul</w:t>
            </w:r>
            <w:proofErr w:type="spellEnd"/>
            <w:r w:rsidR="00E06D60" w:rsidRPr="000B038D">
              <w:rPr>
                <w:sz w:val="22"/>
                <w:szCs w:val="22"/>
                <w:lang w:val="it-IT"/>
              </w:rPr>
              <w:t xml:space="preserve"> de </w:t>
            </w:r>
            <w:proofErr w:type="spellStart"/>
            <w:r w:rsidR="00E06D60" w:rsidRPr="000B038D">
              <w:rPr>
                <w:sz w:val="22"/>
                <w:szCs w:val="22"/>
                <w:lang w:val="it-IT"/>
              </w:rPr>
              <w:t>transport</w:t>
            </w:r>
            <w:proofErr w:type="spellEnd"/>
            <w:r w:rsidR="00E06D60" w:rsidRPr="000B038D">
              <w:rPr>
                <w:sz w:val="22"/>
                <w:szCs w:val="22"/>
                <w:lang w:val="it-IT"/>
              </w:rPr>
              <w:t xml:space="preserve"> al </w:t>
            </w:r>
            <w:proofErr w:type="spellStart"/>
            <w:r w:rsidR="00E06D60" w:rsidRPr="000B038D">
              <w:rPr>
                <w:sz w:val="22"/>
                <w:szCs w:val="22"/>
                <w:lang w:val="it-IT"/>
              </w:rPr>
              <w:t>gazelor</w:t>
            </w:r>
            <w:proofErr w:type="spellEnd"/>
            <w:r w:rsidR="00E06D60" w:rsidRPr="000B038D">
              <w:rPr>
                <w:sz w:val="22"/>
                <w:szCs w:val="22"/>
                <w:lang w:val="it-IT"/>
              </w:rPr>
              <w:t xml:space="preserve"> naturale </w:t>
            </w:r>
            <w:proofErr w:type="spellStart"/>
            <w:r w:rsidR="00E06D60" w:rsidRPr="000B038D">
              <w:rPr>
                <w:sz w:val="22"/>
                <w:szCs w:val="22"/>
                <w:lang w:val="it-IT"/>
              </w:rPr>
              <w:t>sunt</w:t>
            </w:r>
            <w:proofErr w:type="spellEnd"/>
            <w:r w:rsidR="00E06D60" w:rsidRPr="000B038D">
              <w:rPr>
                <w:sz w:val="22"/>
                <w:szCs w:val="22"/>
                <w:lang w:val="it-IT"/>
              </w:rPr>
              <w:t xml:space="preserve"> </w:t>
            </w:r>
            <w:proofErr w:type="spellStart"/>
            <w:r w:rsidR="00E06D60" w:rsidRPr="000B038D">
              <w:rPr>
                <w:sz w:val="22"/>
                <w:szCs w:val="22"/>
                <w:lang w:val="it-IT"/>
              </w:rPr>
              <w:t>deja</w:t>
            </w:r>
            <w:proofErr w:type="spellEnd"/>
            <w:r w:rsidR="00E06D60" w:rsidRPr="000B038D">
              <w:rPr>
                <w:sz w:val="22"/>
                <w:szCs w:val="22"/>
                <w:lang w:val="it-IT"/>
              </w:rPr>
              <w:t xml:space="preserve"> incluse </w:t>
            </w:r>
            <w:proofErr w:type="spellStart"/>
            <w:r w:rsidR="00E06D60" w:rsidRPr="000B038D">
              <w:rPr>
                <w:sz w:val="22"/>
                <w:szCs w:val="22"/>
                <w:lang w:val="it-IT"/>
              </w:rPr>
              <w:t>cheltuielile</w:t>
            </w:r>
            <w:proofErr w:type="spellEnd"/>
            <w:r w:rsidR="00E06D60" w:rsidRPr="000B038D">
              <w:rPr>
                <w:sz w:val="22"/>
                <w:szCs w:val="22"/>
                <w:lang w:val="it-IT"/>
              </w:rPr>
              <w:t xml:space="preserve"> </w:t>
            </w:r>
            <w:proofErr w:type="spellStart"/>
            <w:r w:rsidR="00E06D60" w:rsidRPr="000B038D">
              <w:rPr>
                <w:sz w:val="22"/>
                <w:szCs w:val="22"/>
                <w:lang w:val="it-IT"/>
              </w:rPr>
              <w:t>aferente</w:t>
            </w:r>
            <w:proofErr w:type="spellEnd"/>
            <w:r w:rsidR="00E06D60" w:rsidRPr="000B038D">
              <w:rPr>
                <w:sz w:val="22"/>
                <w:szCs w:val="22"/>
                <w:lang w:val="it-IT"/>
              </w:rPr>
              <w:t xml:space="preserve"> </w:t>
            </w:r>
            <w:proofErr w:type="spellStart"/>
            <w:r w:rsidR="00E06D60" w:rsidRPr="000B038D">
              <w:rPr>
                <w:sz w:val="22"/>
                <w:szCs w:val="22"/>
                <w:lang w:val="it-IT"/>
              </w:rPr>
              <w:t>serviciilor</w:t>
            </w:r>
            <w:proofErr w:type="spellEnd"/>
            <w:r w:rsidR="00E06D60" w:rsidRPr="000B038D">
              <w:rPr>
                <w:sz w:val="22"/>
                <w:szCs w:val="22"/>
                <w:lang w:val="it-IT"/>
              </w:rPr>
              <w:t xml:space="preserve"> prestate de </w:t>
            </w:r>
            <w:proofErr w:type="spellStart"/>
            <w:r w:rsidR="00E06D60" w:rsidRPr="000B038D">
              <w:rPr>
                <w:sz w:val="22"/>
                <w:szCs w:val="22"/>
                <w:lang w:val="it-IT"/>
              </w:rPr>
              <w:t>terți</w:t>
            </w:r>
            <w:proofErr w:type="spellEnd"/>
            <w:r w:rsidR="00E06D60" w:rsidRPr="000B038D">
              <w:rPr>
                <w:sz w:val="22"/>
                <w:szCs w:val="22"/>
                <w:lang w:val="it-IT"/>
              </w:rPr>
              <w:t xml:space="preserve"> </w:t>
            </w:r>
            <w:proofErr w:type="spellStart"/>
            <w:r w:rsidR="00E06D60" w:rsidRPr="000B038D">
              <w:rPr>
                <w:sz w:val="22"/>
                <w:szCs w:val="22"/>
                <w:lang w:val="it-IT"/>
              </w:rPr>
              <w:t>necesare</w:t>
            </w:r>
            <w:proofErr w:type="spellEnd"/>
            <w:r w:rsidR="00E06D60" w:rsidRPr="000B038D">
              <w:rPr>
                <w:sz w:val="22"/>
                <w:szCs w:val="22"/>
                <w:lang w:val="it-IT"/>
              </w:rPr>
              <w:t xml:space="preserve"> </w:t>
            </w:r>
            <w:proofErr w:type="spellStart"/>
            <w:r w:rsidR="00E06D60" w:rsidRPr="000B038D">
              <w:rPr>
                <w:sz w:val="22"/>
                <w:szCs w:val="22"/>
                <w:lang w:val="it-IT"/>
              </w:rPr>
              <w:t>pentru</w:t>
            </w:r>
            <w:proofErr w:type="spellEnd"/>
            <w:r w:rsidR="00E06D60" w:rsidRPr="000B038D">
              <w:rPr>
                <w:sz w:val="22"/>
                <w:szCs w:val="22"/>
                <w:lang w:val="it-IT"/>
              </w:rPr>
              <w:t xml:space="preserve"> </w:t>
            </w:r>
            <w:proofErr w:type="spellStart"/>
            <w:r w:rsidR="00E06D60" w:rsidRPr="000B038D">
              <w:rPr>
                <w:sz w:val="22"/>
                <w:szCs w:val="22"/>
                <w:lang w:val="it-IT"/>
              </w:rPr>
              <w:t>desfăşurarea</w:t>
            </w:r>
            <w:proofErr w:type="spellEnd"/>
            <w:r w:rsidR="00E06D60" w:rsidRPr="000B038D">
              <w:rPr>
                <w:sz w:val="22"/>
                <w:szCs w:val="22"/>
                <w:lang w:val="it-IT"/>
              </w:rPr>
              <w:t xml:space="preserve"> </w:t>
            </w:r>
            <w:proofErr w:type="spellStart"/>
            <w:r w:rsidR="00E06D60" w:rsidRPr="000B038D">
              <w:rPr>
                <w:sz w:val="22"/>
                <w:szCs w:val="22"/>
                <w:lang w:val="it-IT"/>
              </w:rPr>
              <w:t>activităţii</w:t>
            </w:r>
            <w:proofErr w:type="spellEnd"/>
            <w:r w:rsidR="00E06D60" w:rsidRPr="000B038D">
              <w:rPr>
                <w:sz w:val="22"/>
                <w:szCs w:val="22"/>
                <w:lang w:val="it-IT"/>
              </w:rPr>
              <w:t xml:space="preserve"> de </w:t>
            </w:r>
            <w:proofErr w:type="spellStart"/>
            <w:r w:rsidR="00E06D60" w:rsidRPr="000B038D">
              <w:rPr>
                <w:sz w:val="22"/>
                <w:szCs w:val="22"/>
                <w:lang w:val="it-IT"/>
              </w:rPr>
              <w:t>transport</w:t>
            </w:r>
            <w:proofErr w:type="spellEnd"/>
            <w:r w:rsidR="00E06D60" w:rsidRPr="000B038D">
              <w:rPr>
                <w:sz w:val="22"/>
                <w:szCs w:val="22"/>
                <w:lang w:val="it-IT"/>
              </w:rPr>
              <w:t xml:space="preserve"> al </w:t>
            </w:r>
            <w:proofErr w:type="spellStart"/>
            <w:r w:rsidR="00E06D60" w:rsidRPr="000B038D">
              <w:rPr>
                <w:sz w:val="22"/>
                <w:szCs w:val="22"/>
                <w:lang w:val="it-IT"/>
              </w:rPr>
              <w:t>gazelor</w:t>
            </w:r>
            <w:proofErr w:type="spellEnd"/>
            <w:r w:rsidR="00E06D60" w:rsidRPr="000B038D">
              <w:rPr>
                <w:sz w:val="22"/>
                <w:szCs w:val="22"/>
                <w:lang w:val="it-IT"/>
              </w:rPr>
              <w:t xml:space="preserve"> naturale (</w:t>
            </w:r>
            <w:proofErr w:type="spellStart"/>
            <w:r w:rsidR="00E06D60" w:rsidRPr="000B038D">
              <w:rPr>
                <w:sz w:val="22"/>
                <w:szCs w:val="22"/>
                <w:lang w:val="it-IT"/>
              </w:rPr>
              <w:t>CSTn</w:t>
            </w:r>
            <w:proofErr w:type="spellEnd"/>
            <w:r w:rsidR="00E06D60" w:rsidRPr="000B038D">
              <w:rPr>
                <w:sz w:val="22"/>
                <w:szCs w:val="22"/>
                <w:lang w:val="it-IT"/>
              </w:rPr>
              <w:t xml:space="preserve">), </w:t>
            </w:r>
            <w:proofErr w:type="spellStart"/>
            <w:r w:rsidR="00E06D60" w:rsidRPr="000B038D">
              <w:rPr>
                <w:sz w:val="22"/>
                <w:szCs w:val="22"/>
                <w:lang w:val="it-IT"/>
              </w:rPr>
              <w:t>precum</w:t>
            </w:r>
            <w:proofErr w:type="spellEnd"/>
            <w:r w:rsidR="00E06D60" w:rsidRPr="000B038D">
              <w:rPr>
                <w:sz w:val="22"/>
                <w:szCs w:val="22"/>
                <w:lang w:val="it-IT"/>
              </w:rPr>
              <w:t xml:space="preserve"> </w:t>
            </w:r>
            <w:proofErr w:type="spellStart"/>
            <w:r w:rsidR="00E06D60" w:rsidRPr="000F011F">
              <w:rPr>
                <w:sz w:val="22"/>
                <w:szCs w:val="22"/>
                <w:lang w:val="it-IT"/>
              </w:rPr>
              <w:t>și</w:t>
            </w:r>
            <w:proofErr w:type="spellEnd"/>
            <w:r w:rsidR="00E06D60" w:rsidRPr="000F011F">
              <w:rPr>
                <w:sz w:val="22"/>
                <w:szCs w:val="22"/>
                <w:lang w:val="it-IT"/>
              </w:rPr>
              <w:t xml:space="preserve"> </w:t>
            </w:r>
            <w:proofErr w:type="spellStart"/>
            <w:r w:rsidR="00E06D60" w:rsidRPr="000F011F">
              <w:rPr>
                <w:sz w:val="22"/>
                <w:szCs w:val="22"/>
                <w:lang w:val="it-IT"/>
              </w:rPr>
              <w:t>cheltuielile</w:t>
            </w:r>
            <w:proofErr w:type="spellEnd"/>
            <w:r w:rsidR="00E06D60" w:rsidRPr="000F011F">
              <w:rPr>
                <w:sz w:val="22"/>
                <w:szCs w:val="22"/>
                <w:lang w:val="it-IT"/>
              </w:rPr>
              <w:t xml:space="preserve"> </w:t>
            </w:r>
            <w:proofErr w:type="spellStart"/>
            <w:r w:rsidR="00E06D60" w:rsidRPr="000F011F">
              <w:rPr>
                <w:sz w:val="22"/>
                <w:szCs w:val="22"/>
                <w:lang w:val="it-IT"/>
              </w:rPr>
              <w:t>administrative</w:t>
            </w:r>
            <w:proofErr w:type="spellEnd"/>
            <w:r w:rsidR="00E06D60" w:rsidRPr="000F011F">
              <w:rPr>
                <w:sz w:val="22"/>
                <w:szCs w:val="22"/>
                <w:lang w:val="it-IT"/>
              </w:rPr>
              <w:t xml:space="preserve"> (</w:t>
            </w:r>
            <w:proofErr w:type="spellStart"/>
            <w:r w:rsidR="00E06D60" w:rsidRPr="000F011F">
              <w:rPr>
                <w:sz w:val="22"/>
                <w:szCs w:val="22"/>
                <w:lang w:val="it-IT"/>
              </w:rPr>
              <w:t>CAn</w:t>
            </w:r>
            <w:proofErr w:type="spellEnd"/>
            <w:r w:rsidR="00E06D60" w:rsidRPr="000F011F">
              <w:rPr>
                <w:sz w:val="22"/>
                <w:szCs w:val="22"/>
                <w:lang w:val="it-IT"/>
              </w:rPr>
              <w:t xml:space="preserve">), care </w:t>
            </w:r>
            <w:proofErr w:type="spellStart"/>
            <w:r w:rsidR="00E06D60" w:rsidRPr="000F011F">
              <w:rPr>
                <w:sz w:val="22"/>
                <w:szCs w:val="22"/>
                <w:lang w:val="it-IT"/>
              </w:rPr>
              <w:t>ar</w:t>
            </w:r>
            <w:proofErr w:type="spellEnd"/>
            <w:r w:rsidR="00E06D60" w:rsidRPr="000F011F">
              <w:rPr>
                <w:sz w:val="22"/>
                <w:szCs w:val="22"/>
                <w:lang w:val="it-IT"/>
              </w:rPr>
              <w:t xml:space="preserve"> </w:t>
            </w:r>
            <w:proofErr w:type="spellStart"/>
            <w:r w:rsidR="00E06D60" w:rsidRPr="000F011F">
              <w:rPr>
                <w:sz w:val="22"/>
                <w:szCs w:val="22"/>
                <w:lang w:val="it-IT"/>
              </w:rPr>
              <w:t>cuprinde</w:t>
            </w:r>
            <w:proofErr w:type="spellEnd"/>
            <w:r w:rsidR="00E06D60" w:rsidRPr="000F011F">
              <w:rPr>
                <w:sz w:val="22"/>
                <w:szCs w:val="22"/>
                <w:lang w:val="it-IT"/>
              </w:rPr>
              <w:t xml:space="preserve"> </w:t>
            </w:r>
            <w:proofErr w:type="spellStart"/>
            <w:r w:rsidR="00E06D60" w:rsidRPr="000F011F">
              <w:rPr>
                <w:sz w:val="22"/>
                <w:szCs w:val="22"/>
                <w:lang w:val="it-IT"/>
              </w:rPr>
              <w:t>inclusiv</w:t>
            </w:r>
            <w:proofErr w:type="spellEnd"/>
            <w:r w:rsidR="00E06D60" w:rsidRPr="000F011F">
              <w:rPr>
                <w:sz w:val="22"/>
                <w:szCs w:val="22"/>
                <w:lang w:val="it-IT"/>
              </w:rPr>
              <w:t xml:space="preserve"> </w:t>
            </w:r>
            <w:proofErr w:type="spellStart"/>
            <w:r w:rsidR="00E06D60" w:rsidRPr="000F011F">
              <w:rPr>
                <w:sz w:val="22"/>
                <w:szCs w:val="22"/>
                <w:lang w:val="it-IT"/>
              </w:rPr>
              <w:t>și</w:t>
            </w:r>
            <w:proofErr w:type="spellEnd"/>
            <w:r w:rsidR="00E06D60" w:rsidRPr="000F011F">
              <w:rPr>
                <w:sz w:val="22"/>
                <w:szCs w:val="22"/>
                <w:lang w:val="it-IT"/>
              </w:rPr>
              <w:t xml:space="preserve"> </w:t>
            </w:r>
            <w:proofErr w:type="spellStart"/>
            <w:r w:rsidR="00E06D60" w:rsidRPr="000F011F">
              <w:rPr>
                <w:sz w:val="22"/>
                <w:szCs w:val="22"/>
                <w:lang w:val="it-IT"/>
              </w:rPr>
              <w:t>cheltuielile</w:t>
            </w:r>
            <w:proofErr w:type="spellEnd"/>
            <w:r w:rsidR="00E06D60" w:rsidRPr="000F011F">
              <w:rPr>
                <w:sz w:val="22"/>
                <w:szCs w:val="22"/>
                <w:lang w:val="it-IT"/>
              </w:rPr>
              <w:t xml:space="preserve"> stipulate </w:t>
            </w:r>
            <w:proofErr w:type="spellStart"/>
            <w:r w:rsidR="00E06D60" w:rsidRPr="000F011F">
              <w:rPr>
                <w:sz w:val="22"/>
                <w:szCs w:val="22"/>
                <w:lang w:val="it-IT"/>
              </w:rPr>
              <w:t>în</w:t>
            </w:r>
            <w:proofErr w:type="spellEnd"/>
            <w:r w:rsidR="00E06D60" w:rsidRPr="000F011F">
              <w:rPr>
                <w:sz w:val="22"/>
                <w:szCs w:val="22"/>
                <w:lang w:val="it-IT"/>
              </w:rPr>
              <w:t xml:space="preserve"> pct.7. 4) al </w:t>
            </w:r>
            <w:proofErr w:type="spellStart"/>
            <w:r w:rsidR="00E06D60" w:rsidRPr="000F011F">
              <w:rPr>
                <w:sz w:val="22"/>
                <w:szCs w:val="22"/>
                <w:lang w:val="it-IT"/>
              </w:rPr>
              <w:t>Metodei</w:t>
            </w:r>
            <w:proofErr w:type="spellEnd"/>
            <w:r w:rsidR="00E06D60" w:rsidRPr="000F011F">
              <w:rPr>
                <w:sz w:val="22"/>
                <w:szCs w:val="22"/>
                <w:lang w:val="it-IT"/>
              </w:rPr>
              <w:t xml:space="preserve">. </w:t>
            </w:r>
            <w:proofErr w:type="spellStart"/>
            <w:r w:rsidR="00E06D60" w:rsidRPr="000F011F">
              <w:rPr>
                <w:sz w:val="22"/>
                <w:szCs w:val="22"/>
                <w:lang w:val="it-IT"/>
              </w:rPr>
              <w:t>Astfel</w:t>
            </w:r>
            <w:proofErr w:type="spellEnd"/>
            <w:r w:rsidR="00E06D60" w:rsidRPr="000F011F">
              <w:rPr>
                <w:sz w:val="22"/>
                <w:szCs w:val="22"/>
                <w:lang w:val="it-IT"/>
              </w:rPr>
              <w:t xml:space="preserve">, </w:t>
            </w:r>
            <w:proofErr w:type="spellStart"/>
            <w:r w:rsidR="00E06D60" w:rsidRPr="000F011F">
              <w:rPr>
                <w:sz w:val="22"/>
                <w:szCs w:val="22"/>
                <w:lang w:val="it-IT"/>
              </w:rPr>
              <w:t>având</w:t>
            </w:r>
            <w:proofErr w:type="spellEnd"/>
            <w:r w:rsidR="00E06D60" w:rsidRPr="000F011F">
              <w:rPr>
                <w:sz w:val="22"/>
                <w:szCs w:val="22"/>
                <w:lang w:val="it-IT"/>
              </w:rPr>
              <w:t xml:space="preserve"> </w:t>
            </w:r>
            <w:proofErr w:type="spellStart"/>
            <w:r w:rsidR="00E06D60" w:rsidRPr="000F011F">
              <w:rPr>
                <w:sz w:val="22"/>
                <w:szCs w:val="22"/>
                <w:lang w:val="it-IT"/>
              </w:rPr>
              <w:t>în</w:t>
            </w:r>
            <w:proofErr w:type="spellEnd"/>
            <w:r w:rsidR="00E06D60" w:rsidRPr="000F011F">
              <w:rPr>
                <w:sz w:val="22"/>
                <w:szCs w:val="22"/>
                <w:lang w:val="it-IT"/>
              </w:rPr>
              <w:t xml:space="preserve"> vedere </w:t>
            </w:r>
            <w:proofErr w:type="spellStart"/>
            <w:r w:rsidR="00E06D60" w:rsidRPr="000F011F">
              <w:rPr>
                <w:sz w:val="22"/>
                <w:szCs w:val="22"/>
                <w:lang w:val="it-IT"/>
              </w:rPr>
              <w:t>că</w:t>
            </w:r>
            <w:proofErr w:type="spellEnd"/>
            <w:r w:rsidR="00E06D60" w:rsidRPr="000F011F">
              <w:rPr>
                <w:sz w:val="22"/>
                <w:szCs w:val="22"/>
                <w:lang w:val="it-IT"/>
              </w:rPr>
              <w:t xml:space="preserve">, </w:t>
            </w:r>
            <w:proofErr w:type="spellStart"/>
            <w:r w:rsidR="00E06D60" w:rsidRPr="000F011F">
              <w:rPr>
                <w:sz w:val="22"/>
                <w:szCs w:val="22"/>
                <w:lang w:val="it-IT"/>
              </w:rPr>
              <w:t>cheltuielile</w:t>
            </w:r>
            <w:proofErr w:type="spellEnd"/>
            <w:r w:rsidR="00E06D60" w:rsidRPr="000F011F">
              <w:rPr>
                <w:sz w:val="22"/>
                <w:szCs w:val="22"/>
                <w:lang w:val="it-IT"/>
              </w:rPr>
              <w:t xml:space="preserve"> stipulate </w:t>
            </w:r>
            <w:proofErr w:type="spellStart"/>
            <w:r w:rsidR="00E06D60" w:rsidRPr="000F011F">
              <w:rPr>
                <w:sz w:val="22"/>
                <w:szCs w:val="22"/>
                <w:lang w:val="it-IT"/>
              </w:rPr>
              <w:t>în</w:t>
            </w:r>
            <w:proofErr w:type="spellEnd"/>
            <w:r w:rsidR="00E06D60" w:rsidRPr="000F011F">
              <w:rPr>
                <w:sz w:val="22"/>
                <w:szCs w:val="22"/>
                <w:lang w:val="it-IT"/>
              </w:rPr>
              <w:t xml:space="preserve"> pct.7.4) al </w:t>
            </w:r>
            <w:proofErr w:type="spellStart"/>
            <w:r w:rsidR="00E06D60" w:rsidRPr="000F011F">
              <w:rPr>
                <w:sz w:val="22"/>
                <w:szCs w:val="22"/>
                <w:lang w:val="it-IT"/>
              </w:rPr>
              <w:t>Metodei</w:t>
            </w:r>
            <w:proofErr w:type="spellEnd"/>
            <w:r w:rsidR="00E06D60" w:rsidRPr="000F011F">
              <w:rPr>
                <w:sz w:val="22"/>
                <w:szCs w:val="22"/>
                <w:lang w:val="it-IT"/>
              </w:rPr>
              <w:t xml:space="preserve"> nu </w:t>
            </w:r>
            <w:proofErr w:type="spellStart"/>
            <w:r w:rsidR="00E06D60" w:rsidRPr="000F011F">
              <w:rPr>
                <w:sz w:val="22"/>
                <w:szCs w:val="22"/>
                <w:lang w:val="it-IT"/>
              </w:rPr>
              <w:t>decurg</w:t>
            </w:r>
            <w:proofErr w:type="spellEnd"/>
            <w:r w:rsidR="00E06D60" w:rsidRPr="000F011F">
              <w:rPr>
                <w:sz w:val="22"/>
                <w:szCs w:val="22"/>
                <w:lang w:val="it-IT"/>
              </w:rPr>
              <w:t xml:space="preserve"> </w:t>
            </w:r>
            <w:proofErr w:type="spellStart"/>
            <w:r w:rsidR="00E06D60" w:rsidRPr="000F011F">
              <w:rPr>
                <w:sz w:val="22"/>
                <w:szCs w:val="22"/>
                <w:lang w:val="it-IT"/>
              </w:rPr>
              <w:t>direct</w:t>
            </w:r>
            <w:proofErr w:type="spellEnd"/>
            <w:r w:rsidR="00E06D60" w:rsidRPr="000F011F">
              <w:rPr>
                <w:sz w:val="22"/>
                <w:szCs w:val="22"/>
                <w:lang w:val="it-IT"/>
              </w:rPr>
              <w:t xml:space="preserve"> </w:t>
            </w:r>
            <w:proofErr w:type="spellStart"/>
            <w:r w:rsidR="00E06D60" w:rsidRPr="000F011F">
              <w:rPr>
                <w:sz w:val="22"/>
                <w:szCs w:val="22"/>
                <w:lang w:val="it-IT"/>
              </w:rPr>
              <w:t>din</w:t>
            </w:r>
            <w:proofErr w:type="spellEnd"/>
            <w:r w:rsidR="00E06D60" w:rsidRPr="000F011F">
              <w:rPr>
                <w:sz w:val="22"/>
                <w:szCs w:val="22"/>
                <w:lang w:val="it-IT"/>
              </w:rPr>
              <w:t xml:space="preserve"> </w:t>
            </w:r>
            <w:proofErr w:type="spellStart"/>
            <w:r w:rsidR="00E06D60" w:rsidRPr="000F011F">
              <w:rPr>
                <w:sz w:val="22"/>
                <w:szCs w:val="22"/>
                <w:lang w:val="it-IT"/>
              </w:rPr>
              <w:t>acțiunile</w:t>
            </w:r>
            <w:proofErr w:type="spellEnd"/>
            <w:r w:rsidR="00E06D60" w:rsidRPr="000F011F">
              <w:rPr>
                <w:sz w:val="22"/>
                <w:szCs w:val="22"/>
                <w:lang w:val="it-IT"/>
              </w:rPr>
              <w:t xml:space="preserve"> de echilibrare </w:t>
            </w:r>
            <w:proofErr w:type="spellStart"/>
            <w:r w:rsidR="00E06D60" w:rsidRPr="000F011F">
              <w:rPr>
                <w:sz w:val="22"/>
                <w:szCs w:val="22"/>
                <w:lang w:val="it-IT"/>
              </w:rPr>
              <w:t>efectuate</w:t>
            </w:r>
            <w:proofErr w:type="spellEnd"/>
            <w:r w:rsidR="00E06D60" w:rsidRPr="000F011F">
              <w:rPr>
                <w:sz w:val="22"/>
                <w:szCs w:val="22"/>
                <w:lang w:val="it-IT"/>
              </w:rPr>
              <w:t xml:space="preserve"> de OST, ci </w:t>
            </w:r>
            <w:proofErr w:type="spellStart"/>
            <w:r w:rsidR="00E06D60" w:rsidRPr="000F011F">
              <w:rPr>
                <w:sz w:val="22"/>
                <w:szCs w:val="22"/>
                <w:lang w:val="it-IT"/>
              </w:rPr>
              <w:t>sunt</w:t>
            </w:r>
            <w:proofErr w:type="spellEnd"/>
            <w:r w:rsidR="00E06D60" w:rsidRPr="000F011F">
              <w:rPr>
                <w:sz w:val="22"/>
                <w:szCs w:val="22"/>
                <w:lang w:val="it-IT"/>
              </w:rPr>
              <w:t xml:space="preserve"> legate de </w:t>
            </w:r>
            <w:proofErr w:type="spellStart"/>
            <w:r w:rsidR="00E06D60" w:rsidRPr="000F011F">
              <w:rPr>
                <w:sz w:val="22"/>
                <w:szCs w:val="22"/>
                <w:lang w:val="it-IT"/>
              </w:rPr>
              <w:t>prestarea</w:t>
            </w:r>
            <w:proofErr w:type="spellEnd"/>
            <w:r w:rsidR="00E06D60" w:rsidRPr="000F011F">
              <w:rPr>
                <w:sz w:val="22"/>
                <w:szCs w:val="22"/>
                <w:lang w:val="it-IT"/>
              </w:rPr>
              <w:t xml:space="preserve"> </w:t>
            </w:r>
            <w:proofErr w:type="spellStart"/>
            <w:r w:rsidR="00E06D60" w:rsidRPr="000F011F">
              <w:rPr>
                <w:sz w:val="22"/>
                <w:szCs w:val="22"/>
                <w:lang w:val="it-IT"/>
              </w:rPr>
              <w:t>serviciilor</w:t>
            </w:r>
            <w:proofErr w:type="spellEnd"/>
            <w:r w:rsidR="00E06D60" w:rsidRPr="000F011F">
              <w:rPr>
                <w:sz w:val="22"/>
                <w:szCs w:val="22"/>
                <w:lang w:val="it-IT"/>
              </w:rPr>
              <w:t xml:space="preserve"> de </w:t>
            </w:r>
            <w:proofErr w:type="spellStart"/>
            <w:r w:rsidR="00E06D60" w:rsidRPr="000F011F">
              <w:rPr>
                <w:sz w:val="22"/>
                <w:szCs w:val="22"/>
                <w:lang w:val="it-IT"/>
              </w:rPr>
              <w:t>sistem</w:t>
            </w:r>
            <w:proofErr w:type="spellEnd"/>
            <w:r w:rsidR="00E06D60" w:rsidRPr="000F011F">
              <w:rPr>
                <w:sz w:val="22"/>
                <w:szCs w:val="22"/>
                <w:lang w:val="it-IT"/>
              </w:rPr>
              <w:t xml:space="preserve"> de </w:t>
            </w:r>
            <w:proofErr w:type="spellStart"/>
            <w:r w:rsidR="00E06D60" w:rsidRPr="000F011F">
              <w:rPr>
                <w:sz w:val="22"/>
                <w:szCs w:val="22"/>
                <w:lang w:val="it-IT"/>
              </w:rPr>
              <w:t>către</w:t>
            </w:r>
            <w:proofErr w:type="spellEnd"/>
            <w:r w:rsidR="00E06D60" w:rsidRPr="000F011F">
              <w:rPr>
                <w:sz w:val="22"/>
                <w:szCs w:val="22"/>
                <w:lang w:val="it-IT"/>
              </w:rPr>
              <w:t xml:space="preserve"> OST, </w:t>
            </w:r>
            <w:proofErr w:type="spellStart"/>
            <w:r w:rsidR="00E06D60" w:rsidRPr="000F011F">
              <w:rPr>
                <w:sz w:val="22"/>
                <w:szCs w:val="22"/>
                <w:lang w:val="it-IT"/>
              </w:rPr>
              <w:t>considerăm</w:t>
            </w:r>
            <w:proofErr w:type="spellEnd"/>
            <w:r w:rsidR="00E06D60" w:rsidRPr="000F011F">
              <w:rPr>
                <w:sz w:val="22"/>
                <w:szCs w:val="22"/>
                <w:lang w:val="it-IT"/>
              </w:rPr>
              <w:t xml:space="preserve"> </w:t>
            </w:r>
            <w:proofErr w:type="spellStart"/>
            <w:r w:rsidR="00E06D60" w:rsidRPr="000F011F">
              <w:rPr>
                <w:sz w:val="22"/>
                <w:szCs w:val="22"/>
                <w:lang w:val="it-IT"/>
              </w:rPr>
              <w:t>că</w:t>
            </w:r>
            <w:proofErr w:type="spellEnd"/>
            <w:r w:rsidR="00E06D60" w:rsidRPr="000F011F">
              <w:rPr>
                <w:sz w:val="22"/>
                <w:szCs w:val="22"/>
                <w:lang w:val="it-IT"/>
              </w:rPr>
              <w:t xml:space="preserve"> </w:t>
            </w:r>
            <w:proofErr w:type="spellStart"/>
            <w:r w:rsidR="00E06D60" w:rsidRPr="000F011F">
              <w:rPr>
                <w:sz w:val="22"/>
                <w:szCs w:val="22"/>
                <w:lang w:val="it-IT"/>
              </w:rPr>
              <w:t>aceste</w:t>
            </w:r>
            <w:proofErr w:type="spellEnd"/>
            <w:r w:rsidR="00E06D60" w:rsidRPr="000F011F">
              <w:rPr>
                <w:sz w:val="22"/>
                <w:szCs w:val="22"/>
                <w:lang w:val="it-IT"/>
              </w:rPr>
              <w:t xml:space="preserve"> </w:t>
            </w:r>
            <w:proofErr w:type="spellStart"/>
            <w:r w:rsidR="00E06D60" w:rsidRPr="000F011F">
              <w:rPr>
                <w:sz w:val="22"/>
                <w:szCs w:val="22"/>
                <w:lang w:val="it-IT"/>
              </w:rPr>
              <w:t>costuri</w:t>
            </w:r>
            <w:proofErr w:type="spellEnd"/>
            <w:r w:rsidR="00E06D60" w:rsidRPr="000F011F">
              <w:rPr>
                <w:sz w:val="22"/>
                <w:szCs w:val="22"/>
                <w:lang w:val="it-IT"/>
              </w:rPr>
              <w:t xml:space="preserve"> </w:t>
            </w:r>
            <w:proofErr w:type="spellStart"/>
            <w:r w:rsidR="00E06D60" w:rsidRPr="000F011F">
              <w:rPr>
                <w:sz w:val="22"/>
                <w:szCs w:val="22"/>
                <w:lang w:val="it-IT"/>
              </w:rPr>
              <w:t>ar</w:t>
            </w:r>
            <w:proofErr w:type="spellEnd"/>
            <w:r w:rsidR="00E06D60" w:rsidRPr="000F011F">
              <w:rPr>
                <w:sz w:val="22"/>
                <w:szCs w:val="22"/>
                <w:lang w:val="it-IT"/>
              </w:rPr>
              <w:t xml:space="preserve"> </w:t>
            </w:r>
            <w:proofErr w:type="spellStart"/>
            <w:r w:rsidR="00E06D60" w:rsidRPr="000F011F">
              <w:rPr>
                <w:sz w:val="22"/>
                <w:szCs w:val="22"/>
                <w:lang w:val="it-IT"/>
              </w:rPr>
              <w:t>trebui</w:t>
            </w:r>
            <w:proofErr w:type="spellEnd"/>
            <w:r w:rsidR="00E06D60" w:rsidRPr="000F011F">
              <w:rPr>
                <w:sz w:val="22"/>
                <w:szCs w:val="22"/>
                <w:lang w:val="it-IT"/>
              </w:rPr>
              <w:t xml:space="preserve"> </w:t>
            </w:r>
            <w:proofErr w:type="spellStart"/>
            <w:r w:rsidR="00E06D60" w:rsidRPr="000F011F">
              <w:rPr>
                <w:sz w:val="22"/>
                <w:szCs w:val="22"/>
                <w:lang w:val="it-IT"/>
              </w:rPr>
              <w:t>să</w:t>
            </w:r>
            <w:proofErr w:type="spellEnd"/>
            <w:r w:rsidR="00E06D60" w:rsidRPr="000F011F">
              <w:rPr>
                <w:sz w:val="22"/>
                <w:szCs w:val="22"/>
                <w:lang w:val="it-IT"/>
              </w:rPr>
              <w:t xml:space="preserve"> </w:t>
            </w:r>
            <w:proofErr w:type="spellStart"/>
            <w:r w:rsidR="00E06D60" w:rsidRPr="000F011F">
              <w:rPr>
                <w:sz w:val="22"/>
                <w:szCs w:val="22"/>
                <w:lang w:val="it-IT"/>
              </w:rPr>
              <w:t>fie</w:t>
            </w:r>
            <w:proofErr w:type="spellEnd"/>
            <w:r w:rsidR="00E06D60" w:rsidRPr="000F011F">
              <w:rPr>
                <w:sz w:val="22"/>
                <w:szCs w:val="22"/>
                <w:lang w:val="it-IT"/>
              </w:rPr>
              <w:t xml:space="preserve"> </w:t>
            </w:r>
            <w:proofErr w:type="spellStart"/>
            <w:r w:rsidR="00E06D60" w:rsidRPr="000F011F">
              <w:rPr>
                <w:sz w:val="22"/>
                <w:szCs w:val="22"/>
                <w:lang w:val="it-IT"/>
              </w:rPr>
              <w:t>acoperite</w:t>
            </w:r>
            <w:proofErr w:type="spellEnd"/>
            <w:r w:rsidR="00E06D60" w:rsidRPr="000F011F">
              <w:rPr>
                <w:sz w:val="22"/>
                <w:szCs w:val="22"/>
                <w:lang w:val="it-IT"/>
              </w:rPr>
              <w:t xml:space="preserve"> </w:t>
            </w:r>
            <w:proofErr w:type="spellStart"/>
            <w:r w:rsidR="00E06D60" w:rsidRPr="000F011F">
              <w:rPr>
                <w:sz w:val="22"/>
                <w:szCs w:val="22"/>
                <w:lang w:val="it-IT"/>
              </w:rPr>
              <w:t>prin</w:t>
            </w:r>
            <w:proofErr w:type="spellEnd"/>
            <w:r w:rsidR="00E06D60" w:rsidRPr="000F011F">
              <w:rPr>
                <w:sz w:val="22"/>
                <w:szCs w:val="22"/>
                <w:lang w:val="it-IT"/>
              </w:rPr>
              <w:t xml:space="preserve"> </w:t>
            </w:r>
            <w:proofErr w:type="spellStart"/>
            <w:r w:rsidR="00E06D60" w:rsidRPr="000F011F">
              <w:rPr>
                <w:sz w:val="22"/>
                <w:szCs w:val="22"/>
                <w:lang w:val="it-IT"/>
              </w:rPr>
              <w:t>tariful</w:t>
            </w:r>
            <w:proofErr w:type="spellEnd"/>
            <w:r w:rsidR="00E06D60" w:rsidRPr="000F011F">
              <w:rPr>
                <w:sz w:val="22"/>
                <w:szCs w:val="22"/>
                <w:lang w:val="it-IT"/>
              </w:rPr>
              <w:t xml:space="preserve"> </w:t>
            </w:r>
            <w:proofErr w:type="spellStart"/>
            <w:r w:rsidR="00E06D60" w:rsidRPr="000F011F">
              <w:rPr>
                <w:sz w:val="22"/>
                <w:szCs w:val="22"/>
                <w:lang w:val="it-IT"/>
              </w:rPr>
              <w:t>reglementat</w:t>
            </w:r>
            <w:proofErr w:type="spellEnd"/>
            <w:r w:rsidR="00E06D60" w:rsidRPr="000F011F">
              <w:rPr>
                <w:sz w:val="22"/>
                <w:szCs w:val="22"/>
                <w:lang w:val="it-IT"/>
              </w:rPr>
              <w:t xml:space="preserve"> </w:t>
            </w:r>
            <w:proofErr w:type="spellStart"/>
            <w:r w:rsidR="00E06D60" w:rsidRPr="000F011F">
              <w:rPr>
                <w:sz w:val="22"/>
                <w:szCs w:val="22"/>
                <w:lang w:val="it-IT"/>
              </w:rPr>
              <w:t>și</w:t>
            </w:r>
            <w:proofErr w:type="spellEnd"/>
            <w:r w:rsidR="00E06D60" w:rsidRPr="000F011F">
              <w:rPr>
                <w:sz w:val="22"/>
                <w:szCs w:val="22"/>
                <w:lang w:val="it-IT"/>
              </w:rPr>
              <w:t xml:space="preserve"> nu incluse </w:t>
            </w:r>
            <w:proofErr w:type="spellStart"/>
            <w:r w:rsidR="00E06D60" w:rsidRPr="000F011F">
              <w:rPr>
                <w:sz w:val="22"/>
                <w:szCs w:val="22"/>
                <w:lang w:val="it-IT"/>
              </w:rPr>
              <w:t>în</w:t>
            </w:r>
            <w:proofErr w:type="spellEnd"/>
            <w:r w:rsidR="00E06D60" w:rsidRPr="000F011F">
              <w:rPr>
                <w:sz w:val="22"/>
                <w:szCs w:val="22"/>
                <w:lang w:val="it-IT"/>
              </w:rPr>
              <w:t xml:space="preserve"> </w:t>
            </w:r>
            <w:proofErr w:type="spellStart"/>
            <w:r w:rsidR="00E06D60" w:rsidRPr="000F011F">
              <w:rPr>
                <w:sz w:val="22"/>
                <w:szCs w:val="22"/>
                <w:lang w:val="it-IT"/>
              </w:rPr>
              <w:t>plata</w:t>
            </w:r>
            <w:proofErr w:type="spellEnd"/>
            <w:r w:rsidR="00E06D60" w:rsidRPr="000F011F">
              <w:rPr>
                <w:sz w:val="22"/>
                <w:szCs w:val="22"/>
                <w:lang w:val="it-IT"/>
              </w:rPr>
              <w:t xml:space="preserve"> </w:t>
            </w:r>
            <w:proofErr w:type="spellStart"/>
            <w:r w:rsidR="00E06D60" w:rsidRPr="000F011F">
              <w:rPr>
                <w:sz w:val="22"/>
                <w:szCs w:val="22"/>
                <w:lang w:val="it-IT"/>
              </w:rPr>
              <w:t>pentru</w:t>
            </w:r>
            <w:proofErr w:type="spellEnd"/>
            <w:r w:rsidR="00E06D60" w:rsidRPr="000F011F">
              <w:rPr>
                <w:sz w:val="22"/>
                <w:szCs w:val="22"/>
                <w:lang w:val="it-IT"/>
              </w:rPr>
              <w:t xml:space="preserve"> </w:t>
            </w:r>
            <w:proofErr w:type="spellStart"/>
            <w:r w:rsidR="00E06D60" w:rsidRPr="000F011F">
              <w:rPr>
                <w:sz w:val="22"/>
                <w:szCs w:val="22"/>
                <w:lang w:val="it-IT"/>
              </w:rPr>
              <w:t>neutralitate</w:t>
            </w:r>
            <w:proofErr w:type="spellEnd"/>
            <w:r w:rsidR="00E06D60" w:rsidRPr="000F011F">
              <w:rPr>
                <w:sz w:val="22"/>
                <w:szCs w:val="22"/>
                <w:lang w:val="it-IT"/>
              </w:rPr>
              <w:t xml:space="preserve">, care </w:t>
            </w:r>
            <w:proofErr w:type="spellStart"/>
            <w:r w:rsidR="00E06D60" w:rsidRPr="000F011F">
              <w:rPr>
                <w:sz w:val="22"/>
                <w:szCs w:val="22"/>
                <w:lang w:val="it-IT"/>
              </w:rPr>
              <w:t>ar</w:t>
            </w:r>
            <w:proofErr w:type="spellEnd"/>
            <w:r w:rsidR="00E06D60" w:rsidRPr="000F011F">
              <w:rPr>
                <w:sz w:val="22"/>
                <w:szCs w:val="22"/>
                <w:lang w:val="it-IT"/>
              </w:rPr>
              <w:t xml:space="preserve"> </w:t>
            </w:r>
            <w:proofErr w:type="spellStart"/>
            <w:r w:rsidR="00E06D60" w:rsidRPr="000F011F">
              <w:rPr>
                <w:sz w:val="22"/>
                <w:szCs w:val="22"/>
                <w:lang w:val="it-IT"/>
              </w:rPr>
              <w:t>trebui</w:t>
            </w:r>
            <w:proofErr w:type="spellEnd"/>
            <w:r w:rsidR="00E06D60" w:rsidRPr="000F011F">
              <w:rPr>
                <w:sz w:val="22"/>
                <w:szCs w:val="22"/>
                <w:lang w:val="it-IT"/>
              </w:rPr>
              <w:t xml:space="preserve"> </w:t>
            </w:r>
            <w:proofErr w:type="spellStart"/>
            <w:r w:rsidR="00E06D60" w:rsidRPr="000F011F">
              <w:rPr>
                <w:sz w:val="22"/>
                <w:szCs w:val="22"/>
                <w:lang w:val="it-IT"/>
              </w:rPr>
              <w:t>să</w:t>
            </w:r>
            <w:proofErr w:type="spellEnd"/>
            <w:r w:rsidR="00E06D60" w:rsidRPr="000F011F">
              <w:rPr>
                <w:sz w:val="22"/>
                <w:szCs w:val="22"/>
                <w:lang w:val="it-IT"/>
              </w:rPr>
              <w:t xml:space="preserve"> </w:t>
            </w:r>
            <w:proofErr w:type="spellStart"/>
            <w:r w:rsidR="00E06D60" w:rsidRPr="000F011F">
              <w:rPr>
                <w:sz w:val="22"/>
                <w:szCs w:val="22"/>
                <w:lang w:val="it-IT"/>
              </w:rPr>
              <w:t>reflecte</w:t>
            </w:r>
            <w:proofErr w:type="spellEnd"/>
            <w:r w:rsidR="00E06D60" w:rsidRPr="000F011F">
              <w:rPr>
                <w:sz w:val="22"/>
                <w:szCs w:val="22"/>
                <w:lang w:val="it-IT"/>
              </w:rPr>
              <w:t xml:space="preserve"> </w:t>
            </w:r>
            <w:proofErr w:type="spellStart"/>
            <w:r w:rsidR="00E06D60" w:rsidRPr="000F011F">
              <w:rPr>
                <w:sz w:val="22"/>
                <w:szCs w:val="22"/>
                <w:lang w:val="it-IT"/>
              </w:rPr>
              <w:t>strict</w:t>
            </w:r>
            <w:proofErr w:type="spellEnd"/>
            <w:r w:rsidR="00E06D60" w:rsidRPr="000F011F">
              <w:rPr>
                <w:sz w:val="22"/>
                <w:szCs w:val="22"/>
                <w:lang w:val="it-IT"/>
              </w:rPr>
              <w:t xml:space="preserve"> </w:t>
            </w:r>
            <w:proofErr w:type="spellStart"/>
            <w:r w:rsidR="00E06D60" w:rsidRPr="000F011F">
              <w:rPr>
                <w:sz w:val="22"/>
                <w:szCs w:val="22"/>
                <w:lang w:val="it-IT"/>
              </w:rPr>
              <w:t>costurile</w:t>
            </w:r>
            <w:proofErr w:type="spellEnd"/>
            <w:r w:rsidR="00E06D60" w:rsidRPr="000F011F">
              <w:rPr>
                <w:sz w:val="22"/>
                <w:szCs w:val="22"/>
                <w:lang w:val="it-IT"/>
              </w:rPr>
              <w:t xml:space="preserve"> </w:t>
            </w:r>
            <w:proofErr w:type="spellStart"/>
            <w:r w:rsidR="00E06D60" w:rsidRPr="000F011F">
              <w:rPr>
                <w:sz w:val="22"/>
                <w:szCs w:val="22"/>
                <w:lang w:val="it-IT"/>
              </w:rPr>
              <w:t>directe</w:t>
            </w:r>
            <w:proofErr w:type="spellEnd"/>
            <w:r w:rsidR="00E06D60" w:rsidRPr="000F011F">
              <w:rPr>
                <w:sz w:val="22"/>
                <w:szCs w:val="22"/>
                <w:lang w:val="it-IT"/>
              </w:rPr>
              <w:t xml:space="preserve"> </w:t>
            </w:r>
            <w:proofErr w:type="spellStart"/>
            <w:r w:rsidR="00E06D60" w:rsidRPr="000F011F">
              <w:rPr>
                <w:sz w:val="22"/>
                <w:szCs w:val="22"/>
                <w:lang w:val="it-IT"/>
              </w:rPr>
              <w:t>asociate</w:t>
            </w:r>
            <w:proofErr w:type="spellEnd"/>
            <w:r w:rsidR="00E06D60" w:rsidRPr="000F011F">
              <w:rPr>
                <w:sz w:val="22"/>
                <w:szCs w:val="22"/>
                <w:lang w:val="it-IT"/>
              </w:rPr>
              <w:t xml:space="preserve"> </w:t>
            </w:r>
            <w:proofErr w:type="spellStart"/>
            <w:r w:rsidR="00E06D60" w:rsidRPr="000F011F">
              <w:rPr>
                <w:sz w:val="22"/>
                <w:szCs w:val="22"/>
                <w:lang w:val="it-IT"/>
              </w:rPr>
              <w:t>acțiunilor</w:t>
            </w:r>
            <w:proofErr w:type="spellEnd"/>
            <w:r w:rsidR="00E06D60" w:rsidRPr="000F011F">
              <w:rPr>
                <w:sz w:val="22"/>
                <w:szCs w:val="22"/>
                <w:lang w:val="it-IT"/>
              </w:rPr>
              <w:t xml:space="preserve"> de echilibrare. </w:t>
            </w:r>
            <w:proofErr w:type="spellStart"/>
            <w:r w:rsidR="00E06D60" w:rsidRPr="000F011F">
              <w:rPr>
                <w:sz w:val="22"/>
                <w:szCs w:val="22"/>
                <w:lang w:val="it-IT"/>
              </w:rPr>
              <w:t>Prin</w:t>
            </w:r>
            <w:proofErr w:type="spellEnd"/>
            <w:r w:rsidR="00E06D60" w:rsidRPr="000F011F">
              <w:rPr>
                <w:sz w:val="22"/>
                <w:szCs w:val="22"/>
                <w:lang w:val="it-IT"/>
              </w:rPr>
              <w:t xml:space="preserve"> </w:t>
            </w:r>
            <w:proofErr w:type="spellStart"/>
            <w:r w:rsidR="00E06D60" w:rsidRPr="000F011F">
              <w:rPr>
                <w:sz w:val="22"/>
                <w:szCs w:val="22"/>
                <w:lang w:val="it-IT"/>
              </w:rPr>
              <w:t>urmare</w:t>
            </w:r>
            <w:proofErr w:type="spellEnd"/>
            <w:r w:rsidR="00E06D60" w:rsidRPr="000F011F">
              <w:rPr>
                <w:sz w:val="22"/>
                <w:szCs w:val="22"/>
                <w:lang w:val="it-IT"/>
              </w:rPr>
              <w:t xml:space="preserve">, </w:t>
            </w:r>
            <w:proofErr w:type="spellStart"/>
            <w:r w:rsidR="00E06D60" w:rsidRPr="000F011F">
              <w:rPr>
                <w:sz w:val="22"/>
                <w:szCs w:val="22"/>
                <w:lang w:val="it-IT"/>
              </w:rPr>
              <w:t>propunem</w:t>
            </w:r>
            <w:proofErr w:type="spellEnd"/>
            <w:r w:rsidR="00E06D60" w:rsidRPr="000F011F">
              <w:rPr>
                <w:sz w:val="22"/>
                <w:szCs w:val="22"/>
                <w:lang w:val="it-IT"/>
              </w:rPr>
              <w:t xml:space="preserve"> </w:t>
            </w:r>
            <w:proofErr w:type="spellStart"/>
            <w:r w:rsidR="00E06D60" w:rsidRPr="000F011F">
              <w:rPr>
                <w:sz w:val="22"/>
                <w:szCs w:val="22"/>
                <w:lang w:val="it-IT"/>
              </w:rPr>
              <w:t>să</w:t>
            </w:r>
            <w:proofErr w:type="spellEnd"/>
            <w:r w:rsidR="00E06D60" w:rsidRPr="000F011F">
              <w:rPr>
                <w:sz w:val="22"/>
                <w:szCs w:val="22"/>
                <w:lang w:val="it-IT"/>
              </w:rPr>
              <w:t xml:space="preserve"> </w:t>
            </w:r>
            <w:proofErr w:type="spellStart"/>
            <w:r w:rsidR="00E06D60" w:rsidRPr="000F011F">
              <w:rPr>
                <w:sz w:val="22"/>
                <w:szCs w:val="22"/>
                <w:lang w:val="it-IT"/>
              </w:rPr>
              <w:t>reconsiderați</w:t>
            </w:r>
            <w:proofErr w:type="spellEnd"/>
            <w:r w:rsidR="00E06D60" w:rsidRPr="000F011F">
              <w:rPr>
                <w:sz w:val="22"/>
                <w:szCs w:val="22"/>
                <w:lang w:val="it-IT"/>
              </w:rPr>
              <w:t xml:space="preserve"> </w:t>
            </w:r>
            <w:proofErr w:type="spellStart"/>
            <w:r w:rsidR="00E06D60" w:rsidRPr="000F011F">
              <w:rPr>
                <w:sz w:val="22"/>
                <w:szCs w:val="22"/>
                <w:lang w:val="it-IT"/>
              </w:rPr>
              <w:t>includerea</w:t>
            </w:r>
            <w:proofErr w:type="spellEnd"/>
            <w:r w:rsidR="00E06D60" w:rsidRPr="000F011F">
              <w:rPr>
                <w:sz w:val="22"/>
                <w:szCs w:val="22"/>
                <w:lang w:val="it-IT"/>
              </w:rPr>
              <w:t xml:space="preserve"> </w:t>
            </w:r>
            <w:proofErr w:type="spellStart"/>
            <w:r w:rsidR="00E06D60" w:rsidRPr="000F011F">
              <w:rPr>
                <w:sz w:val="22"/>
                <w:szCs w:val="22"/>
                <w:lang w:val="it-IT"/>
              </w:rPr>
              <w:t>acestor</w:t>
            </w:r>
            <w:proofErr w:type="spellEnd"/>
            <w:r w:rsidR="00E06D60" w:rsidRPr="000F011F">
              <w:rPr>
                <w:sz w:val="22"/>
                <w:szCs w:val="22"/>
                <w:lang w:val="it-IT"/>
              </w:rPr>
              <w:t xml:space="preserve"> </w:t>
            </w:r>
            <w:proofErr w:type="spellStart"/>
            <w:r w:rsidR="00E06D60" w:rsidRPr="000F011F">
              <w:rPr>
                <w:sz w:val="22"/>
                <w:szCs w:val="22"/>
                <w:lang w:val="it-IT"/>
              </w:rPr>
              <w:t>categorii</w:t>
            </w:r>
            <w:proofErr w:type="spellEnd"/>
            <w:r w:rsidR="00E06D60" w:rsidRPr="000F011F">
              <w:rPr>
                <w:sz w:val="22"/>
                <w:szCs w:val="22"/>
                <w:lang w:val="it-IT"/>
              </w:rPr>
              <w:t xml:space="preserve"> de </w:t>
            </w:r>
            <w:proofErr w:type="spellStart"/>
            <w:r w:rsidR="00E06D60" w:rsidRPr="000F011F">
              <w:rPr>
                <w:sz w:val="22"/>
                <w:szCs w:val="22"/>
                <w:lang w:val="it-IT"/>
              </w:rPr>
              <w:t>costuri</w:t>
            </w:r>
            <w:proofErr w:type="spellEnd"/>
            <w:r w:rsidR="00E06D60" w:rsidRPr="000F011F">
              <w:rPr>
                <w:sz w:val="22"/>
                <w:szCs w:val="22"/>
                <w:lang w:val="it-IT"/>
              </w:rPr>
              <w:t xml:space="preserve"> </w:t>
            </w:r>
            <w:proofErr w:type="spellStart"/>
            <w:r w:rsidR="00E06D60" w:rsidRPr="000F011F">
              <w:rPr>
                <w:sz w:val="22"/>
                <w:szCs w:val="22"/>
                <w:lang w:val="it-IT"/>
              </w:rPr>
              <w:t>în</w:t>
            </w:r>
            <w:proofErr w:type="spellEnd"/>
            <w:r w:rsidR="00E06D60" w:rsidRPr="000F011F">
              <w:rPr>
                <w:sz w:val="22"/>
                <w:szCs w:val="22"/>
                <w:lang w:val="it-IT"/>
              </w:rPr>
              <w:t xml:space="preserve"> metodologia </w:t>
            </w:r>
            <w:proofErr w:type="spellStart"/>
            <w:r w:rsidR="00E06D60" w:rsidRPr="000F011F">
              <w:rPr>
                <w:sz w:val="22"/>
                <w:szCs w:val="22"/>
                <w:lang w:val="it-IT"/>
              </w:rPr>
              <w:t>propusă</w:t>
            </w:r>
            <w:proofErr w:type="spellEnd"/>
            <w:r w:rsidR="00E06D60" w:rsidRPr="000F011F">
              <w:rPr>
                <w:sz w:val="22"/>
                <w:szCs w:val="22"/>
                <w:lang w:val="it-IT"/>
              </w:rPr>
              <w:t xml:space="preserve">, </w:t>
            </w:r>
            <w:proofErr w:type="spellStart"/>
            <w:r w:rsidR="00E06D60" w:rsidRPr="000F011F">
              <w:rPr>
                <w:sz w:val="22"/>
                <w:szCs w:val="22"/>
                <w:lang w:val="it-IT"/>
              </w:rPr>
              <w:t>astfel</w:t>
            </w:r>
            <w:proofErr w:type="spellEnd"/>
            <w:r w:rsidR="00E06D60" w:rsidRPr="000F011F">
              <w:rPr>
                <w:sz w:val="22"/>
                <w:szCs w:val="22"/>
                <w:lang w:val="it-IT"/>
              </w:rPr>
              <w:t xml:space="preserve"> </w:t>
            </w:r>
            <w:proofErr w:type="spellStart"/>
            <w:r w:rsidR="00E06D60" w:rsidRPr="000F011F">
              <w:rPr>
                <w:sz w:val="22"/>
                <w:szCs w:val="22"/>
                <w:lang w:val="it-IT"/>
              </w:rPr>
              <w:t>încât</w:t>
            </w:r>
            <w:proofErr w:type="spellEnd"/>
            <w:r w:rsidR="00E06D60" w:rsidRPr="000F011F">
              <w:rPr>
                <w:sz w:val="22"/>
                <w:szCs w:val="22"/>
                <w:lang w:val="it-IT"/>
              </w:rPr>
              <w:t xml:space="preserve"> </w:t>
            </w:r>
            <w:proofErr w:type="spellStart"/>
            <w:r w:rsidR="00E06D60" w:rsidRPr="000F011F">
              <w:rPr>
                <w:sz w:val="22"/>
                <w:szCs w:val="22"/>
                <w:lang w:val="it-IT"/>
              </w:rPr>
              <w:t>să</w:t>
            </w:r>
            <w:proofErr w:type="spellEnd"/>
            <w:r w:rsidR="00E06D60" w:rsidRPr="000F011F">
              <w:rPr>
                <w:sz w:val="22"/>
                <w:szCs w:val="22"/>
                <w:lang w:val="it-IT"/>
              </w:rPr>
              <w:t xml:space="preserve"> se </w:t>
            </w:r>
            <w:proofErr w:type="spellStart"/>
            <w:r w:rsidR="00E06D60" w:rsidRPr="000F011F">
              <w:rPr>
                <w:sz w:val="22"/>
                <w:szCs w:val="22"/>
                <w:lang w:val="it-IT"/>
              </w:rPr>
              <w:t>asigure</w:t>
            </w:r>
            <w:proofErr w:type="spellEnd"/>
            <w:r w:rsidR="00E06D60" w:rsidRPr="000F011F">
              <w:rPr>
                <w:sz w:val="22"/>
                <w:szCs w:val="22"/>
                <w:lang w:val="it-IT"/>
              </w:rPr>
              <w:t xml:space="preserve"> o </w:t>
            </w:r>
            <w:proofErr w:type="spellStart"/>
            <w:r w:rsidR="00E06D60" w:rsidRPr="000F011F">
              <w:rPr>
                <w:sz w:val="22"/>
                <w:szCs w:val="22"/>
                <w:lang w:val="it-IT"/>
              </w:rPr>
              <w:t>conformitate</w:t>
            </w:r>
            <w:proofErr w:type="spellEnd"/>
            <w:r w:rsidR="00E06D60" w:rsidRPr="000F011F">
              <w:rPr>
                <w:sz w:val="22"/>
                <w:szCs w:val="22"/>
                <w:lang w:val="it-IT"/>
              </w:rPr>
              <w:t xml:space="preserve"> </w:t>
            </w:r>
            <w:proofErr w:type="spellStart"/>
            <w:r w:rsidR="00E06D60" w:rsidRPr="000F011F">
              <w:rPr>
                <w:sz w:val="22"/>
                <w:szCs w:val="22"/>
                <w:lang w:val="it-IT"/>
              </w:rPr>
              <w:t>strictă</w:t>
            </w:r>
            <w:proofErr w:type="spellEnd"/>
            <w:r w:rsidR="00E06D60" w:rsidRPr="000F011F">
              <w:rPr>
                <w:sz w:val="22"/>
                <w:szCs w:val="22"/>
                <w:lang w:val="it-IT"/>
              </w:rPr>
              <w:t xml:space="preserve"> cu </w:t>
            </w:r>
            <w:proofErr w:type="spellStart"/>
            <w:r w:rsidR="00E06D60" w:rsidRPr="000F011F">
              <w:rPr>
                <w:sz w:val="22"/>
                <w:szCs w:val="22"/>
                <w:lang w:val="it-IT"/>
              </w:rPr>
              <w:t>principiul</w:t>
            </w:r>
            <w:proofErr w:type="spellEnd"/>
            <w:r w:rsidR="00E06D60" w:rsidRPr="000F011F">
              <w:rPr>
                <w:sz w:val="22"/>
                <w:szCs w:val="22"/>
                <w:lang w:val="it-IT"/>
              </w:rPr>
              <w:t xml:space="preserve"> </w:t>
            </w:r>
            <w:proofErr w:type="spellStart"/>
            <w:r w:rsidR="00E06D60" w:rsidRPr="000F011F">
              <w:rPr>
                <w:sz w:val="22"/>
                <w:szCs w:val="22"/>
                <w:lang w:val="it-IT"/>
              </w:rPr>
              <w:t>neutralității</w:t>
            </w:r>
            <w:proofErr w:type="spellEnd"/>
            <w:r w:rsidR="00E06D60" w:rsidRPr="000F011F">
              <w:rPr>
                <w:sz w:val="22"/>
                <w:szCs w:val="22"/>
                <w:lang w:val="it-IT"/>
              </w:rPr>
              <w:t xml:space="preserve"> </w:t>
            </w:r>
            <w:proofErr w:type="spellStart"/>
            <w:r w:rsidR="00E06D60" w:rsidRPr="000F011F">
              <w:rPr>
                <w:sz w:val="22"/>
                <w:szCs w:val="22"/>
                <w:lang w:val="it-IT"/>
              </w:rPr>
              <w:t>costurilor</w:t>
            </w:r>
            <w:proofErr w:type="spellEnd"/>
            <w:r w:rsidR="00E06D60" w:rsidRPr="000F011F">
              <w:rPr>
                <w:sz w:val="22"/>
                <w:szCs w:val="22"/>
                <w:lang w:val="it-IT"/>
              </w:rPr>
              <w:t xml:space="preserve"> </w:t>
            </w:r>
            <w:proofErr w:type="spellStart"/>
            <w:r w:rsidR="00E06D60" w:rsidRPr="000F011F">
              <w:rPr>
                <w:sz w:val="22"/>
                <w:szCs w:val="22"/>
                <w:lang w:val="it-IT"/>
              </w:rPr>
              <w:t>pentru</w:t>
            </w:r>
            <w:proofErr w:type="spellEnd"/>
            <w:r w:rsidR="00E06D60" w:rsidRPr="000F011F">
              <w:rPr>
                <w:sz w:val="22"/>
                <w:szCs w:val="22"/>
                <w:lang w:val="it-IT"/>
              </w:rPr>
              <w:t xml:space="preserve"> </w:t>
            </w:r>
            <w:proofErr w:type="spellStart"/>
            <w:r w:rsidR="00E06D60" w:rsidRPr="000F011F">
              <w:rPr>
                <w:sz w:val="22"/>
                <w:szCs w:val="22"/>
                <w:lang w:val="it-IT"/>
              </w:rPr>
              <w:t>acțiunile</w:t>
            </w:r>
            <w:proofErr w:type="spellEnd"/>
            <w:r w:rsidR="00E06D60" w:rsidRPr="000F011F">
              <w:rPr>
                <w:sz w:val="22"/>
                <w:szCs w:val="22"/>
                <w:lang w:val="it-IT"/>
              </w:rPr>
              <w:t xml:space="preserve"> de echilibrare, </w:t>
            </w:r>
            <w:proofErr w:type="spellStart"/>
            <w:r w:rsidR="00E06D60" w:rsidRPr="000F011F">
              <w:rPr>
                <w:sz w:val="22"/>
                <w:szCs w:val="22"/>
                <w:lang w:val="it-IT"/>
              </w:rPr>
              <w:t>conform</w:t>
            </w:r>
            <w:proofErr w:type="spellEnd"/>
            <w:r w:rsidR="00E06D60" w:rsidRPr="000F011F">
              <w:rPr>
                <w:sz w:val="22"/>
                <w:szCs w:val="22"/>
                <w:lang w:val="it-IT"/>
              </w:rPr>
              <w:t xml:space="preserve"> </w:t>
            </w:r>
            <w:proofErr w:type="spellStart"/>
            <w:r w:rsidR="00E06D60" w:rsidRPr="000F011F">
              <w:rPr>
                <w:sz w:val="22"/>
                <w:szCs w:val="22"/>
                <w:lang w:val="it-IT"/>
              </w:rPr>
              <w:t>spiritului</w:t>
            </w:r>
            <w:proofErr w:type="spellEnd"/>
            <w:r w:rsidR="00E06D60" w:rsidRPr="000F011F">
              <w:rPr>
                <w:sz w:val="22"/>
                <w:szCs w:val="22"/>
                <w:lang w:val="it-IT"/>
              </w:rPr>
              <w:t xml:space="preserve"> </w:t>
            </w:r>
            <w:proofErr w:type="spellStart"/>
            <w:r w:rsidR="00E06D60" w:rsidRPr="000F011F">
              <w:rPr>
                <w:sz w:val="22"/>
                <w:szCs w:val="22"/>
                <w:lang w:val="it-IT"/>
              </w:rPr>
              <w:t>Metodei</w:t>
            </w:r>
            <w:proofErr w:type="spellEnd"/>
            <w:r w:rsidR="00E06D60" w:rsidRPr="000F011F">
              <w:rPr>
                <w:sz w:val="22"/>
                <w:szCs w:val="22"/>
                <w:lang w:val="it-IT"/>
              </w:rPr>
              <w:t xml:space="preserve"> </w:t>
            </w:r>
            <w:proofErr w:type="spellStart"/>
            <w:r w:rsidR="00E06D60" w:rsidRPr="000F011F">
              <w:rPr>
                <w:sz w:val="22"/>
                <w:szCs w:val="22"/>
                <w:lang w:val="it-IT"/>
              </w:rPr>
              <w:t>și</w:t>
            </w:r>
            <w:proofErr w:type="spellEnd"/>
            <w:r w:rsidR="00E06D60" w:rsidRPr="000F011F">
              <w:rPr>
                <w:sz w:val="22"/>
                <w:szCs w:val="22"/>
                <w:lang w:val="it-IT"/>
              </w:rPr>
              <w:t xml:space="preserve"> a </w:t>
            </w:r>
            <w:proofErr w:type="spellStart"/>
            <w:r w:rsidR="00E06D60" w:rsidRPr="000F011F">
              <w:rPr>
                <w:sz w:val="22"/>
                <w:szCs w:val="22"/>
                <w:lang w:val="it-IT"/>
              </w:rPr>
              <w:t>prevederilor</w:t>
            </w:r>
            <w:proofErr w:type="spellEnd"/>
            <w:r w:rsidR="00E06D60" w:rsidRPr="000F011F">
              <w:rPr>
                <w:sz w:val="22"/>
                <w:szCs w:val="22"/>
                <w:lang w:val="it-IT"/>
              </w:rPr>
              <w:t xml:space="preserve"> </w:t>
            </w:r>
            <w:proofErr w:type="spellStart"/>
            <w:r w:rsidR="00E06D60" w:rsidRPr="000F011F">
              <w:rPr>
                <w:sz w:val="22"/>
                <w:szCs w:val="22"/>
                <w:lang w:val="it-IT"/>
              </w:rPr>
              <w:t>pct</w:t>
            </w:r>
            <w:proofErr w:type="spellEnd"/>
            <w:r w:rsidR="00E06D60" w:rsidRPr="000F011F">
              <w:rPr>
                <w:sz w:val="22"/>
                <w:szCs w:val="22"/>
                <w:lang w:val="it-IT"/>
              </w:rPr>
              <w:t>.</w:t>
            </w:r>
            <w:r w:rsidR="005B37D4" w:rsidRPr="000F011F">
              <w:rPr>
                <w:sz w:val="22"/>
                <w:szCs w:val="22"/>
                <w:lang w:val="it-IT"/>
              </w:rPr>
              <w:t xml:space="preserve"> </w:t>
            </w:r>
            <w:r w:rsidR="00E06D60" w:rsidRPr="000F011F">
              <w:rPr>
                <w:sz w:val="22"/>
                <w:szCs w:val="22"/>
                <w:lang w:val="it-IT"/>
              </w:rPr>
              <w:t xml:space="preserve">6 </w:t>
            </w:r>
            <w:proofErr w:type="spellStart"/>
            <w:r w:rsidR="00E06D60" w:rsidRPr="000F011F">
              <w:rPr>
                <w:sz w:val="22"/>
                <w:szCs w:val="22"/>
                <w:lang w:val="it-IT"/>
              </w:rPr>
              <w:t>enunțate</w:t>
            </w:r>
            <w:proofErr w:type="spellEnd"/>
            <w:r w:rsidR="00E06D60" w:rsidRPr="000F011F">
              <w:rPr>
                <w:sz w:val="22"/>
                <w:szCs w:val="22"/>
                <w:lang w:val="it-IT"/>
              </w:rPr>
              <w:t xml:space="preserve"> </w:t>
            </w:r>
            <w:proofErr w:type="spellStart"/>
            <w:r w:rsidR="00E06D60" w:rsidRPr="000F011F">
              <w:rPr>
                <w:sz w:val="22"/>
                <w:szCs w:val="22"/>
                <w:lang w:val="it-IT"/>
              </w:rPr>
              <w:t>supra</w:t>
            </w:r>
            <w:proofErr w:type="spellEnd"/>
            <w:r w:rsidR="00E06D60" w:rsidRPr="000B038D">
              <w:rPr>
                <w:sz w:val="22"/>
                <w:szCs w:val="22"/>
                <w:lang w:val="it-IT"/>
              </w:rPr>
              <w:t>.</w:t>
            </w:r>
          </w:p>
        </w:tc>
        <w:tc>
          <w:tcPr>
            <w:cnfStyle w:val="000100000000" w:firstRow="0" w:lastRow="0" w:firstColumn="0" w:lastColumn="1" w:oddVBand="0" w:evenVBand="0" w:oddHBand="0" w:evenHBand="0" w:firstRowFirstColumn="0" w:firstRowLastColumn="0" w:lastRowFirstColumn="0" w:lastRowLastColumn="0"/>
            <w:tcW w:w="1042" w:type="pct"/>
            <w:shd w:val="clear" w:color="auto" w:fill="auto"/>
          </w:tcPr>
          <w:p w14:paraId="0B7172DF" w14:textId="26C85D49" w:rsidR="00F45DE1" w:rsidRPr="00D7413C" w:rsidRDefault="00C32E27" w:rsidP="00F45DE1">
            <w:pPr>
              <w:jc w:val="both"/>
              <w:rPr>
                <w:bCs w:val="0"/>
                <w:sz w:val="22"/>
                <w:szCs w:val="22"/>
                <w:lang w:val="it-IT"/>
              </w:rPr>
            </w:pPr>
            <w:r w:rsidRPr="0000098F">
              <w:rPr>
                <w:sz w:val="22"/>
                <w:szCs w:val="22"/>
                <w:lang w:val="it-IT"/>
              </w:rPr>
              <w:lastRenderedPageBreak/>
              <w:t xml:space="preserve">Se </w:t>
            </w:r>
            <w:proofErr w:type="spellStart"/>
            <w:r w:rsidRPr="0000098F">
              <w:rPr>
                <w:sz w:val="22"/>
                <w:szCs w:val="22"/>
                <w:lang w:val="it-IT"/>
              </w:rPr>
              <w:t>acceptă</w:t>
            </w:r>
            <w:proofErr w:type="spellEnd"/>
            <w:r w:rsidRPr="0000098F">
              <w:rPr>
                <w:sz w:val="22"/>
                <w:szCs w:val="22"/>
                <w:lang w:val="it-IT"/>
              </w:rPr>
              <w:t xml:space="preserve"> </w:t>
            </w:r>
            <w:proofErr w:type="spellStart"/>
            <w:r w:rsidRPr="0000098F">
              <w:rPr>
                <w:sz w:val="22"/>
                <w:szCs w:val="22"/>
                <w:lang w:val="it-IT"/>
              </w:rPr>
              <w:t>parțial</w:t>
            </w:r>
            <w:proofErr w:type="spellEnd"/>
            <w:r w:rsidR="00F45DE1">
              <w:rPr>
                <w:sz w:val="22"/>
                <w:szCs w:val="22"/>
                <w:lang w:val="it-IT"/>
              </w:rPr>
              <w:t>,</w:t>
            </w:r>
            <w:r w:rsidR="00F45DE1" w:rsidRPr="00504809">
              <w:rPr>
                <w:b w:val="0"/>
                <w:sz w:val="22"/>
                <w:szCs w:val="22"/>
                <w:lang w:val="it-IT"/>
              </w:rPr>
              <w:t xml:space="preserve"> a </w:t>
            </w:r>
            <w:proofErr w:type="gramStart"/>
            <w:r w:rsidR="00F45DE1" w:rsidRPr="00504809">
              <w:rPr>
                <w:b w:val="0"/>
                <w:sz w:val="22"/>
                <w:szCs w:val="22"/>
                <w:lang w:val="it-IT"/>
              </w:rPr>
              <w:t>se</w:t>
            </w:r>
            <w:proofErr w:type="gramEnd"/>
            <w:r w:rsidR="00F45DE1" w:rsidRPr="00504809">
              <w:rPr>
                <w:b w:val="0"/>
                <w:sz w:val="22"/>
                <w:szCs w:val="22"/>
                <w:lang w:val="it-IT"/>
              </w:rPr>
              <w:t xml:space="preserve"> </w:t>
            </w:r>
            <w:proofErr w:type="spellStart"/>
            <w:r w:rsidR="00F45DE1" w:rsidRPr="00504809">
              <w:rPr>
                <w:b w:val="0"/>
                <w:sz w:val="22"/>
                <w:szCs w:val="22"/>
                <w:lang w:val="it-IT"/>
              </w:rPr>
              <w:t>vedea</w:t>
            </w:r>
            <w:proofErr w:type="spellEnd"/>
            <w:r w:rsidR="00F45DE1" w:rsidRPr="00504809">
              <w:rPr>
                <w:b w:val="0"/>
                <w:sz w:val="22"/>
                <w:szCs w:val="22"/>
                <w:lang w:val="it-IT"/>
              </w:rPr>
              <w:t xml:space="preserve"> </w:t>
            </w:r>
            <w:proofErr w:type="spellStart"/>
            <w:r w:rsidR="00F45DE1" w:rsidRPr="00504809">
              <w:rPr>
                <w:b w:val="0"/>
                <w:sz w:val="22"/>
                <w:szCs w:val="22"/>
                <w:lang w:val="it-IT"/>
              </w:rPr>
              <w:t>redacția</w:t>
            </w:r>
            <w:proofErr w:type="spellEnd"/>
            <w:r w:rsidR="00F45DE1">
              <w:rPr>
                <w:b w:val="0"/>
                <w:sz w:val="22"/>
                <w:szCs w:val="22"/>
                <w:lang w:val="it-IT"/>
              </w:rPr>
              <w:t xml:space="preserve"> </w:t>
            </w:r>
            <w:proofErr w:type="spellStart"/>
            <w:r w:rsidR="00F45DE1">
              <w:rPr>
                <w:b w:val="0"/>
                <w:sz w:val="22"/>
                <w:szCs w:val="22"/>
                <w:lang w:val="it-IT"/>
              </w:rPr>
              <w:t>pct</w:t>
            </w:r>
            <w:proofErr w:type="spellEnd"/>
            <w:r w:rsidR="00F45DE1">
              <w:rPr>
                <w:b w:val="0"/>
                <w:sz w:val="22"/>
                <w:szCs w:val="22"/>
                <w:lang w:val="it-IT"/>
              </w:rPr>
              <w:t>. 7</w:t>
            </w:r>
            <w:r w:rsidR="00F45DE1" w:rsidRPr="00504809">
              <w:rPr>
                <w:b w:val="0"/>
                <w:sz w:val="22"/>
                <w:szCs w:val="22"/>
                <w:lang w:val="it-IT"/>
              </w:rPr>
              <w:t xml:space="preserve">  </w:t>
            </w:r>
          </w:p>
          <w:p w14:paraId="33B5A587" w14:textId="32EA9613" w:rsidR="00C32E27" w:rsidRPr="0000098F" w:rsidRDefault="00C32E27" w:rsidP="00D7413C">
            <w:pPr>
              <w:jc w:val="both"/>
              <w:rPr>
                <w:b w:val="0"/>
                <w:bCs w:val="0"/>
                <w:sz w:val="22"/>
                <w:szCs w:val="22"/>
                <w:lang w:val="it-IT"/>
              </w:rPr>
            </w:pPr>
          </w:p>
        </w:tc>
      </w:tr>
      <w:tr w:rsidR="009F2860" w:rsidRPr="00B3091C" w14:paraId="7289079A" w14:textId="77777777" w:rsidTr="00814E84">
        <w:trPr>
          <w:trHeight w:val="841"/>
        </w:trPr>
        <w:tc>
          <w:tcPr>
            <w:tcW w:w="327" w:type="pct"/>
            <w:shd w:val="clear" w:color="auto" w:fill="auto"/>
            <w:vAlign w:val="center"/>
          </w:tcPr>
          <w:p w14:paraId="774C1ECE" w14:textId="4B72BEAD" w:rsidR="009F2860" w:rsidRPr="00814E84" w:rsidRDefault="009F2860" w:rsidP="009F2860">
            <w:pPr>
              <w:jc w:val="center"/>
              <w:rPr>
                <w:sz w:val="22"/>
                <w:szCs w:val="22"/>
                <w:lang w:val="ro-RO"/>
              </w:rPr>
            </w:pPr>
            <w:r w:rsidRPr="00814E84">
              <w:rPr>
                <w:sz w:val="22"/>
                <w:szCs w:val="22"/>
                <w:lang w:val="ro-RO"/>
              </w:rPr>
              <w:lastRenderedPageBreak/>
              <w:t>Pct. 7</w:t>
            </w:r>
          </w:p>
        </w:tc>
        <w:tc>
          <w:tcPr>
            <w:tcW w:w="602" w:type="pct"/>
            <w:vAlign w:val="center"/>
          </w:tcPr>
          <w:p w14:paraId="0C09C8F2" w14:textId="071C058D" w:rsidR="009F2860" w:rsidRPr="00814E84" w:rsidRDefault="00814E84" w:rsidP="009F2860">
            <w:pPr>
              <w:jc w:val="center"/>
              <w:rPr>
                <w:sz w:val="22"/>
                <w:szCs w:val="22"/>
                <w:lang w:val="en-GB"/>
              </w:rPr>
            </w:pPr>
            <w:r>
              <w:rPr>
                <w:sz w:val="22"/>
                <w:szCs w:val="22"/>
                <w:lang w:val="en-GB"/>
              </w:rPr>
              <w:t>„</w:t>
            </w:r>
            <w:proofErr w:type="spellStart"/>
            <w:r w:rsidR="009F2860" w:rsidRPr="00814E84">
              <w:rPr>
                <w:sz w:val="22"/>
                <w:szCs w:val="22"/>
                <w:lang w:val="en-GB"/>
              </w:rPr>
              <w:t>Transautogaz</w:t>
            </w:r>
            <w:proofErr w:type="spellEnd"/>
            <w:r>
              <w:rPr>
                <w:sz w:val="22"/>
                <w:szCs w:val="22"/>
                <w:lang w:val="en-GB"/>
              </w:rPr>
              <w:t>”</w:t>
            </w:r>
            <w:r w:rsidR="009F2860" w:rsidRPr="00814E84">
              <w:rPr>
                <w:sz w:val="22"/>
                <w:szCs w:val="22"/>
                <w:lang w:val="en-GB"/>
              </w:rPr>
              <w:t xml:space="preserve"> S.R.L.</w:t>
            </w:r>
          </w:p>
          <w:p w14:paraId="3E46CEDB" w14:textId="6E6E9413" w:rsidR="009F2860" w:rsidRPr="00814E84" w:rsidRDefault="009F2860" w:rsidP="009F2860">
            <w:pPr>
              <w:jc w:val="center"/>
              <w:rPr>
                <w:sz w:val="22"/>
                <w:szCs w:val="22"/>
                <w:lang w:val="ro-RO"/>
              </w:rPr>
            </w:pPr>
            <w:proofErr w:type="spellStart"/>
            <w:r w:rsidRPr="00814E84">
              <w:rPr>
                <w:sz w:val="22"/>
                <w:szCs w:val="22"/>
                <w:lang w:val="en-GB"/>
              </w:rPr>
              <w:t>nr</w:t>
            </w:r>
            <w:proofErr w:type="spellEnd"/>
            <w:r w:rsidRPr="00814E84">
              <w:rPr>
                <w:sz w:val="22"/>
                <w:szCs w:val="22"/>
                <w:lang w:val="en-GB"/>
              </w:rPr>
              <w:t>. 330 din 23 august 2024</w:t>
            </w:r>
          </w:p>
        </w:tc>
        <w:tc>
          <w:tcPr>
            <w:tcW w:w="1309" w:type="pct"/>
          </w:tcPr>
          <w:p w14:paraId="23338488" w14:textId="77777777" w:rsidR="009F2860" w:rsidRPr="00822A42" w:rsidRDefault="009F2860" w:rsidP="009F2860">
            <w:pPr>
              <w:jc w:val="both"/>
              <w:rPr>
                <w:sz w:val="22"/>
                <w:szCs w:val="22"/>
                <w:lang w:val="ro-MD"/>
              </w:rPr>
            </w:pPr>
            <w:r w:rsidRPr="00822A42">
              <w:rPr>
                <w:sz w:val="22"/>
                <w:szCs w:val="22"/>
                <w:lang w:val="ro-MD"/>
              </w:rPr>
              <w:t>7.</w:t>
            </w:r>
            <w:r w:rsidRPr="00822A42">
              <w:rPr>
                <w:sz w:val="22"/>
                <w:szCs w:val="22"/>
                <w:lang w:val="ro-MD"/>
              </w:rPr>
              <w:tab/>
              <w:t>Plata pentru neutralitate include următoarele categorii de costuri:</w:t>
            </w:r>
          </w:p>
          <w:p w14:paraId="3D7A7183" w14:textId="0A7010FA" w:rsidR="009F2860" w:rsidRPr="000B038D" w:rsidRDefault="009F2860" w:rsidP="009F2860">
            <w:pPr>
              <w:jc w:val="both"/>
              <w:rPr>
                <w:sz w:val="22"/>
                <w:szCs w:val="22"/>
                <w:lang w:val="ro-MD"/>
              </w:rPr>
            </w:pPr>
            <w:r w:rsidRPr="00822A42">
              <w:rPr>
                <w:sz w:val="22"/>
                <w:szCs w:val="22"/>
                <w:lang w:val="ro-MD"/>
              </w:rPr>
              <w:t>1)</w:t>
            </w:r>
            <w:r w:rsidRPr="00822A42">
              <w:rPr>
                <w:sz w:val="22"/>
                <w:szCs w:val="22"/>
                <w:lang w:val="ro-MD"/>
              </w:rPr>
              <w:tab/>
              <w:t>costuri rezultate din efectuarea acțiunilor de echilibrare de către OST (achiziționarea gazelor naturale pentru echilibrare în baza contractelor privind serviciile de echilibrare).</w:t>
            </w:r>
          </w:p>
        </w:tc>
        <w:tc>
          <w:tcPr>
            <w:tcW w:w="1719" w:type="pct"/>
            <w:shd w:val="clear" w:color="auto" w:fill="auto"/>
          </w:tcPr>
          <w:p w14:paraId="084809CF" w14:textId="602D617E" w:rsidR="009F2860" w:rsidRDefault="009F2860" w:rsidP="009F2860">
            <w:pPr>
              <w:jc w:val="both"/>
              <w:rPr>
                <w:sz w:val="22"/>
                <w:szCs w:val="22"/>
                <w:lang w:val="it-IT"/>
              </w:rPr>
            </w:pPr>
            <w:proofErr w:type="spellStart"/>
            <w:r>
              <w:rPr>
                <w:sz w:val="22"/>
                <w:szCs w:val="22"/>
                <w:lang w:val="it-IT"/>
              </w:rPr>
              <w:t>Pct</w:t>
            </w:r>
            <w:proofErr w:type="spellEnd"/>
            <w:r>
              <w:rPr>
                <w:sz w:val="22"/>
                <w:szCs w:val="22"/>
                <w:lang w:val="it-IT"/>
              </w:rPr>
              <w:t>.</w:t>
            </w:r>
            <w:r w:rsidR="00814E84">
              <w:rPr>
                <w:sz w:val="22"/>
                <w:szCs w:val="22"/>
                <w:lang w:val="it-IT"/>
              </w:rPr>
              <w:t xml:space="preserve"> </w:t>
            </w:r>
            <w:r>
              <w:rPr>
                <w:sz w:val="22"/>
                <w:szCs w:val="22"/>
                <w:lang w:val="it-IT"/>
              </w:rPr>
              <w:t xml:space="preserve">7 </w:t>
            </w:r>
            <w:r w:rsidRPr="005B15B5">
              <w:rPr>
                <w:sz w:val="22"/>
                <w:szCs w:val="22"/>
                <w:lang w:val="it-IT"/>
              </w:rPr>
              <w:t xml:space="preserve">Plata </w:t>
            </w:r>
            <w:proofErr w:type="spellStart"/>
            <w:r w:rsidRPr="005B15B5">
              <w:rPr>
                <w:sz w:val="22"/>
                <w:szCs w:val="22"/>
                <w:lang w:val="it-IT"/>
              </w:rPr>
              <w:t>pentru</w:t>
            </w:r>
            <w:proofErr w:type="spellEnd"/>
            <w:r w:rsidRPr="005B15B5">
              <w:rPr>
                <w:sz w:val="22"/>
                <w:szCs w:val="22"/>
                <w:lang w:val="it-IT"/>
              </w:rPr>
              <w:t xml:space="preserve"> </w:t>
            </w:r>
            <w:proofErr w:type="spellStart"/>
            <w:r w:rsidRPr="005B15B5">
              <w:rPr>
                <w:sz w:val="22"/>
                <w:szCs w:val="22"/>
                <w:lang w:val="it-IT"/>
              </w:rPr>
              <w:t>neutralitate</w:t>
            </w:r>
            <w:proofErr w:type="spellEnd"/>
            <w:r w:rsidRPr="005B15B5">
              <w:rPr>
                <w:sz w:val="22"/>
                <w:szCs w:val="22"/>
                <w:lang w:val="it-IT"/>
              </w:rPr>
              <w:t xml:space="preserve"> include </w:t>
            </w:r>
            <w:proofErr w:type="spellStart"/>
            <w:r w:rsidRPr="005B15B5">
              <w:rPr>
                <w:sz w:val="22"/>
                <w:szCs w:val="22"/>
                <w:lang w:val="it-IT"/>
              </w:rPr>
              <w:t>urmatoarele</w:t>
            </w:r>
            <w:proofErr w:type="spellEnd"/>
            <w:r w:rsidRPr="005B15B5">
              <w:rPr>
                <w:sz w:val="22"/>
                <w:szCs w:val="22"/>
                <w:lang w:val="it-IT"/>
              </w:rPr>
              <w:t xml:space="preserve"> </w:t>
            </w:r>
            <w:proofErr w:type="spellStart"/>
            <w:r w:rsidRPr="005B15B5">
              <w:rPr>
                <w:sz w:val="22"/>
                <w:szCs w:val="22"/>
                <w:lang w:val="it-IT"/>
              </w:rPr>
              <w:t>categorii</w:t>
            </w:r>
            <w:proofErr w:type="spellEnd"/>
            <w:r w:rsidRPr="005B15B5">
              <w:rPr>
                <w:sz w:val="22"/>
                <w:szCs w:val="22"/>
                <w:lang w:val="it-IT"/>
              </w:rPr>
              <w:t xml:space="preserve"> de </w:t>
            </w:r>
            <w:proofErr w:type="spellStart"/>
            <w:r w:rsidRPr="005B15B5">
              <w:rPr>
                <w:sz w:val="22"/>
                <w:szCs w:val="22"/>
                <w:lang w:val="it-IT"/>
              </w:rPr>
              <w:t>costuri</w:t>
            </w:r>
            <w:proofErr w:type="spellEnd"/>
            <w:r w:rsidRPr="005B15B5">
              <w:rPr>
                <w:sz w:val="22"/>
                <w:szCs w:val="22"/>
                <w:lang w:val="it-IT"/>
              </w:rPr>
              <w:t xml:space="preserve">: 1) </w:t>
            </w:r>
            <w:proofErr w:type="spellStart"/>
            <w:r w:rsidRPr="005B15B5">
              <w:rPr>
                <w:sz w:val="22"/>
                <w:szCs w:val="22"/>
                <w:lang w:val="it-IT"/>
              </w:rPr>
              <w:t>costuri</w:t>
            </w:r>
            <w:proofErr w:type="spellEnd"/>
            <w:r w:rsidRPr="005B15B5">
              <w:rPr>
                <w:sz w:val="22"/>
                <w:szCs w:val="22"/>
                <w:lang w:val="it-IT"/>
              </w:rPr>
              <w:t xml:space="preserve"> </w:t>
            </w:r>
            <w:proofErr w:type="spellStart"/>
            <w:r w:rsidRPr="005B15B5">
              <w:rPr>
                <w:sz w:val="22"/>
                <w:szCs w:val="22"/>
                <w:lang w:val="it-IT"/>
              </w:rPr>
              <w:t>rezultate</w:t>
            </w:r>
            <w:proofErr w:type="spellEnd"/>
            <w:r w:rsidRPr="005B15B5">
              <w:rPr>
                <w:sz w:val="22"/>
                <w:szCs w:val="22"/>
                <w:lang w:val="it-IT"/>
              </w:rPr>
              <w:t xml:space="preserve"> </w:t>
            </w:r>
            <w:proofErr w:type="spellStart"/>
            <w:r w:rsidRPr="005B15B5">
              <w:rPr>
                <w:sz w:val="22"/>
                <w:szCs w:val="22"/>
                <w:lang w:val="it-IT"/>
              </w:rPr>
              <w:t>din</w:t>
            </w:r>
            <w:proofErr w:type="spellEnd"/>
            <w:r w:rsidRPr="005B15B5">
              <w:rPr>
                <w:sz w:val="22"/>
                <w:szCs w:val="22"/>
                <w:lang w:val="it-IT"/>
              </w:rPr>
              <w:t xml:space="preserve"> </w:t>
            </w:r>
            <w:proofErr w:type="spellStart"/>
            <w:r w:rsidRPr="005B15B5">
              <w:rPr>
                <w:sz w:val="22"/>
                <w:szCs w:val="22"/>
                <w:lang w:val="it-IT"/>
              </w:rPr>
              <w:t>efectuarea</w:t>
            </w:r>
            <w:proofErr w:type="spellEnd"/>
            <w:r w:rsidRPr="005B15B5">
              <w:rPr>
                <w:sz w:val="22"/>
                <w:szCs w:val="22"/>
                <w:lang w:val="it-IT"/>
              </w:rPr>
              <w:t xml:space="preserve"> </w:t>
            </w:r>
            <w:proofErr w:type="spellStart"/>
            <w:r w:rsidRPr="005B15B5">
              <w:rPr>
                <w:sz w:val="22"/>
                <w:szCs w:val="22"/>
                <w:lang w:val="it-IT"/>
              </w:rPr>
              <w:t>actiunilor</w:t>
            </w:r>
            <w:proofErr w:type="spellEnd"/>
            <w:r w:rsidRPr="005B15B5">
              <w:rPr>
                <w:sz w:val="22"/>
                <w:szCs w:val="22"/>
                <w:lang w:val="it-IT"/>
              </w:rPr>
              <w:t xml:space="preserve"> de echilibrare de </w:t>
            </w:r>
            <w:proofErr w:type="spellStart"/>
            <w:r w:rsidRPr="005B15B5">
              <w:rPr>
                <w:sz w:val="22"/>
                <w:szCs w:val="22"/>
                <w:lang w:val="it-IT"/>
              </w:rPr>
              <w:t>către</w:t>
            </w:r>
            <w:proofErr w:type="spellEnd"/>
            <w:r w:rsidRPr="005B15B5">
              <w:rPr>
                <w:sz w:val="22"/>
                <w:szCs w:val="22"/>
                <w:lang w:val="it-IT"/>
              </w:rPr>
              <w:t xml:space="preserve"> OST (</w:t>
            </w:r>
            <w:proofErr w:type="spellStart"/>
            <w:r w:rsidRPr="00822A42">
              <w:rPr>
                <w:i/>
                <w:sz w:val="22"/>
                <w:szCs w:val="22"/>
                <w:lang w:val="it-IT"/>
              </w:rPr>
              <w:t>achizitionarea</w:t>
            </w:r>
            <w:proofErr w:type="spellEnd"/>
            <w:r w:rsidRPr="00822A42">
              <w:rPr>
                <w:i/>
                <w:sz w:val="22"/>
                <w:szCs w:val="22"/>
                <w:lang w:val="it-IT"/>
              </w:rPr>
              <w:t xml:space="preserve"> </w:t>
            </w:r>
            <w:proofErr w:type="spellStart"/>
            <w:r w:rsidRPr="00822A42">
              <w:rPr>
                <w:i/>
                <w:sz w:val="22"/>
                <w:szCs w:val="22"/>
                <w:lang w:val="it-IT"/>
              </w:rPr>
              <w:t>gazelor</w:t>
            </w:r>
            <w:proofErr w:type="spellEnd"/>
            <w:r w:rsidRPr="00822A42">
              <w:rPr>
                <w:i/>
                <w:sz w:val="22"/>
                <w:szCs w:val="22"/>
                <w:lang w:val="it-IT"/>
              </w:rPr>
              <w:t xml:space="preserve"> naturale </w:t>
            </w:r>
            <w:proofErr w:type="spellStart"/>
            <w:r w:rsidRPr="00822A42">
              <w:rPr>
                <w:i/>
                <w:sz w:val="22"/>
                <w:szCs w:val="22"/>
                <w:lang w:val="it-IT"/>
              </w:rPr>
              <w:t>pentru</w:t>
            </w:r>
            <w:proofErr w:type="spellEnd"/>
            <w:r w:rsidRPr="00822A42">
              <w:rPr>
                <w:i/>
                <w:sz w:val="22"/>
                <w:szCs w:val="22"/>
                <w:lang w:val="it-IT"/>
              </w:rPr>
              <w:t xml:space="preserve"> echilibrare in </w:t>
            </w:r>
            <w:proofErr w:type="spellStart"/>
            <w:r w:rsidRPr="00822A42">
              <w:rPr>
                <w:i/>
                <w:sz w:val="22"/>
                <w:szCs w:val="22"/>
                <w:lang w:val="it-IT"/>
              </w:rPr>
              <w:t>baza</w:t>
            </w:r>
            <w:proofErr w:type="spellEnd"/>
            <w:r w:rsidRPr="00822A42">
              <w:rPr>
                <w:i/>
                <w:sz w:val="22"/>
                <w:szCs w:val="22"/>
                <w:lang w:val="it-IT"/>
              </w:rPr>
              <w:t xml:space="preserve"> </w:t>
            </w:r>
            <w:proofErr w:type="spellStart"/>
            <w:r w:rsidRPr="00822A42">
              <w:rPr>
                <w:i/>
                <w:sz w:val="22"/>
                <w:szCs w:val="22"/>
                <w:lang w:val="it-IT"/>
              </w:rPr>
              <w:t>contractelor</w:t>
            </w:r>
            <w:proofErr w:type="spellEnd"/>
            <w:r w:rsidRPr="00822A42">
              <w:rPr>
                <w:i/>
                <w:sz w:val="22"/>
                <w:szCs w:val="22"/>
                <w:lang w:val="it-IT"/>
              </w:rPr>
              <w:t xml:space="preserve"> </w:t>
            </w:r>
            <w:proofErr w:type="spellStart"/>
            <w:r w:rsidRPr="00822A42">
              <w:rPr>
                <w:i/>
                <w:sz w:val="22"/>
                <w:szCs w:val="22"/>
                <w:lang w:val="it-IT"/>
              </w:rPr>
              <w:t>privind</w:t>
            </w:r>
            <w:proofErr w:type="spellEnd"/>
            <w:r w:rsidRPr="00822A42">
              <w:rPr>
                <w:i/>
                <w:sz w:val="22"/>
                <w:szCs w:val="22"/>
                <w:lang w:val="it-IT"/>
              </w:rPr>
              <w:t xml:space="preserve"> </w:t>
            </w:r>
            <w:proofErr w:type="spellStart"/>
            <w:r w:rsidRPr="00822A42">
              <w:rPr>
                <w:i/>
                <w:sz w:val="22"/>
                <w:szCs w:val="22"/>
                <w:lang w:val="it-IT"/>
              </w:rPr>
              <w:t>servicile</w:t>
            </w:r>
            <w:proofErr w:type="spellEnd"/>
            <w:r w:rsidRPr="00822A42">
              <w:rPr>
                <w:i/>
                <w:sz w:val="22"/>
                <w:szCs w:val="22"/>
                <w:lang w:val="it-IT"/>
              </w:rPr>
              <w:t xml:space="preserve"> de echilibrare</w:t>
            </w:r>
            <w:r w:rsidRPr="005B15B5">
              <w:rPr>
                <w:sz w:val="22"/>
                <w:szCs w:val="22"/>
                <w:lang w:val="it-IT"/>
              </w:rPr>
              <w:t xml:space="preserve">). </w:t>
            </w:r>
          </w:p>
          <w:p w14:paraId="1D619325" w14:textId="4EAD0C83" w:rsidR="009F2860" w:rsidRPr="000B038D" w:rsidRDefault="009F2860" w:rsidP="009F2860">
            <w:pPr>
              <w:jc w:val="both"/>
              <w:rPr>
                <w:sz w:val="22"/>
                <w:szCs w:val="22"/>
                <w:lang w:val="it-IT"/>
              </w:rPr>
            </w:pPr>
            <w:r w:rsidRPr="005B15B5">
              <w:rPr>
                <w:sz w:val="22"/>
                <w:szCs w:val="22"/>
                <w:lang w:val="it-IT"/>
              </w:rPr>
              <w:t xml:space="preserve">Nu este </w:t>
            </w:r>
            <w:proofErr w:type="spellStart"/>
            <w:r w:rsidRPr="005B15B5">
              <w:rPr>
                <w:sz w:val="22"/>
                <w:szCs w:val="22"/>
                <w:lang w:val="it-IT"/>
              </w:rPr>
              <w:t>clar</w:t>
            </w:r>
            <w:proofErr w:type="spellEnd"/>
            <w:r w:rsidRPr="005B15B5">
              <w:rPr>
                <w:sz w:val="22"/>
                <w:szCs w:val="22"/>
                <w:lang w:val="it-IT"/>
              </w:rPr>
              <w:t xml:space="preserve"> </w:t>
            </w:r>
            <w:proofErr w:type="spellStart"/>
            <w:r w:rsidRPr="005B15B5">
              <w:rPr>
                <w:sz w:val="22"/>
                <w:szCs w:val="22"/>
                <w:lang w:val="it-IT"/>
              </w:rPr>
              <w:t>acest</w:t>
            </w:r>
            <w:proofErr w:type="spellEnd"/>
            <w:r w:rsidRPr="005B15B5">
              <w:rPr>
                <w:sz w:val="22"/>
                <w:szCs w:val="22"/>
                <w:lang w:val="it-IT"/>
              </w:rPr>
              <w:t xml:space="preserve"> </w:t>
            </w:r>
            <w:proofErr w:type="spellStart"/>
            <w:r w:rsidRPr="005B15B5">
              <w:rPr>
                <w:sz w:val="22"/>
                <w:szCs w:val="22"/>
                <w:lang w:val="it-IT"/>
              </w:rPr>
              <w:t>aspect</w:t>
            </w:r>
            <w:proofErr w:type="spellEnd"/>
            <w:r w:rsidRPr="005B15B5">
              <w:rPr>
                <w:sz w:val="22"/>
                <w:szCs w:val="22"/>
                <w:lang w:val="it-IT"/>
              </w:rPr>
              <w:t xml:space="preserve"> si </w:t>
            </w:r>
            <w:proofErr w:type="spellStart"/>
            <w:r w:rsidRPr="005B15B5">
              <w:rPr>
                <w:sz w:val="22"/>
                <w:szCs w:val="22"/>
                <w:lang w:val="it-IT"/>
              </w:rPr>
              <w:t>solicităm</w:t>
            </w:r>
            <w:proofErr w:type="spellEnd"/>
            <w:r w:rsidRPr="005B15B5">
              <w:rPr>
                <w:sz w:val="22"/>
                <w:szCs w:val="22"/>
                <w:lang w:val="it-IT"/>
              </w:rPr>
              <w:t xml:space="preserve"> o </w:t>
            </w:r>
            <w:proofErr w:type="spellStart"/>
            <w:r w:rsidRPr="005B15B5">
              <w:rPr>
                <w:sz w:val="22"/>
                <w:szCs w:val="22"/>
                <w:lang w:val="it-IT"/>
              </w:rPr>
              <w:t>explicatie</w:t>
            </w:r>
            <w:proofErr w:type="spellEnd"/>
            <w:r w:rsidRPr="005B15B5">
              <w:rPr>
                <w:sz w:val="22"/>
                <w:szCs w:val="22"/>
                <w:lang w:val="it-IT"/>
              </w:rPr>
              <w:t xml:space="preserve"> mai </w:t>
            </w:r>
            <w:proofErr w:type="spellStart"/>
            <w:r w:rsidRPr="005B15B5">
              <w:rPr>
                <w:sz w:val="22"/>
                <w:szCs w:val="22"/>
                <w:lang w:val="it-IT"/>
              </w:rPr>
              <w:t>detaliat</w:t>
            </w:r>
            <w:proofErr w:type="spellEnd"/>
            <w:r w:rsidRPr="005B15B5">
              <w:rPr>
                <w:sz w:val="22"/>
                <w:szCs w:val="22"/>
                <w:lang w:val="it-IT"/>
              </w:rPr>
              <w:t xml:space="preserve"> </w:t>
            </w:r>
            <w:proofErr w:type="spellStart"/>
            <w:r w:rsidRPr="005B15B5">
              <w:rPr>
                <w:sz w:val="22"/>
                <w:szCs w:val="22"/>
                <w:lang w:val="it-IT"/>
              </w:rPr>
              <w:t>referitoare</w:t>
            </w:r>
            <w:proofErr w:type="spellEnd"/>
            <w:r w:rsidRPr="005B15B5">
              <w:rPr>
                <w:sz w:val="22"/>
                <w:szCs w:val="22"/>
                <w:lang w:val="it-IT"/>
              </w:rPr>
              <w:t xml:space="preserve"> la procedura de </w:t>
            </w:r>
            <w:proofErr w:type="spellStart"/>
            <w:r w:rsidRPr="005B15B5">
              <w:rPr>
                <w:sz w:val="22"/>
                <w:szCs w:val="22"/>
                <w:lang w:val="it-IT"/>
              </w:rPr>
              <w:t>achizitie</w:t>
            </w:r>
            <w:proofErr w:type="spellEnd"/>
            <w:r w:rsidRPr="005B15B5">
              <w:rPr>
                <w:sz w:val="22"/>
                <w:szCs w:val="22"/>
                <w:lang w:val="it-IT"/>
              </w:rPr>
              <w:t xml:space="preserve"> a </w:t>
            </w:r>
            <w:proofErr w:type="spellStart"/>
            <w:r w:rsidRPr="005B15B5">
              <w:rPr>
                <w:sz w:val="22"/>
                <w:szCs w:val="22"/>
                <w:lang w:val="it-IT"/>
              </w:rPr>
              <w:t>gazelor</w:t>
            </w:r>
            <w:proofErr w:type="spellEnd"/>
            <w:r w:rsidRPr="005B15B5">
              <w:rPr>
                <w:sz w:val="22"/>
                <w:szCs w:val="22"/>
                <w:lang w:val="it-IT"/>
              </w:rPr>
              <w:t xml:space="preserve"> naturale si </w:t>
            </w:r>
            <w:proofErr w:type="spellStart"/>
            <w:r w:rsidRPr="005B15B5">
              <w:rPr>
                <w:sz w:val="22"/>
                <w:szCs w:val="22"/>
                <w:lang w:val="it-IT"/>
              </w:rPr>
              <w:t>cheltuielile</w:t>
            </w:r>
            <w:proofErr w:type="spellEnd"/>
            <w:r w:rsidRPr="005B15B5">
              <w:rPr>
                <w:sz w:val="22"/>
                <w:szCs w:val="22"/>
                <w:lang w:val="it-IT"/>
              </w:rPr>
              <w:t xml:space="preserve"> </w:t>
            </w:r>
            <w:proofErr w:type="spellStart"/>
            <w:r w:rsidRPr="005B15B5">
              <w:rPr>
                <w:sz w:val="22"/>
                <w:szCs w:val="22"/>
                <w:lang w:val="it-IT"/>
              </w:rPr>
              <w:t>asociate</w:t>
            </w:r>
            <w:proofErr w:type="spellEnd"/>
            <w:r w:rsidRPr="005B15B5">
              <w:rPr>
                <w:sz w:val="22"/>
                <w:szCs w:val="22"/>
                <w:lang w:val="it-IT"/>
              </w:rPr>
              <w:t>.</w:t>
            </w:r>
          </w:p>
        </w:tc>
        <w:tc>
          <w:tcPr>
            <w:cnfStyle w:val="000100000000" w:firstRow="0" w:lastRow="0" w:firstColumn="0" w:lastColumn="1" w:oddVBand="0" w:evenVBand="0" w:oddHBand="0" w:evenHBand="0" w:firstRowFirstColumn="0" w:firstRowLastColumn="0" w:lastRowFirstColumn="0" w:lastRowLastColumn="0"/>
            <w:tcW w:w="1042" w:type="pct"/>
            <w:shd w:val="clear" w:color="auto" w:fill="auto"/>
          </w:tcPr>
          <w:p w14:paraId="4356C324" w14:textId="2886C836" w:rsidR="006040E2" w:rsidRPr="00320CA4" w:rsidRDefault="006040E2" w:rsidP="00320CA4">
            <w:pPr>
              <w:jc w:val="both"/>
              <w:rPr>
                <w:sz w:val="22"/>
                <w:szCs w:val="22"/>
                <w:lang w:val="en-US"/>
              </w:rPr>
            </w:pPr>
            <w:r w:rsidRPr="00320CA4">
              <w:rPr>
                <w:b w:val="0"/>
                <w:sz w:val="22"/>
                <w:szCs w:val="22"/>
                <w:lang w:val="it-IT"/>
              </w:rPr>
              <w:t xml:space="preserve">OST are </w:t>
            </w:r>
            <w:proofErr w:type="spellStart"/>
            <w:r w:rsidRPr="00320CA4">
              <w:rPr>
                <w:b w:val="0"/>
                <w:sz w:val="22"/>
                <w:szCs w:val="22"/>
                <w:lang w:val="it-IT"/>
              </w:rPr>
              <w:t>dreptul</w:t>
            </w:r>
            <w:proofErr w:type="spellEnd"/>
            <w:r w:rsidRPr="00320CA4">
              <w:rPr>
                <w:b w:val="0"/>
                <w:sz w:val="22"/>
                <w:szCs w:val="22"/>
                <w:lang w:val="it-IT"/>
              </w:rPr>
              <w:t xml:space="preserve"> </w:t>
            </w:r>
            <w:proofErr w:type="spellStart"/>
            <w:r w:rsidRPr="00320CA4">
              <w:rPr>
                <w:b w:val="0"/>
                <w:sz w:val="22"/>
                <w:szCs w:val="22"/>
                <w:lang w:val="it-IT"/>
              </w:rPr>
              <w:t>să</w:t>
            </w:r>
            <w:proofErr w:type="spellEnd"/>
            <w:r w:rsidRPr="00320CA4">
              <w:rPr>
                <w:b w:val="0"/>
                <w:sz w:val="22"/>
                <w:szCs w:val="22"/>
                <w:lang w:val="it-IT"/>
              </w:rPr>
              <w:t xml:space="preserve"> </w:t>
            </w:r>
            <w:proofErr w:type="spellStart"/>
            <w:r w:rsidRPr="00320CA4">
              <w:rPr>
                <w:b w:val="0"/>
                <w:sz w:val="22"/>
                <w:szCs w:val="22"/>
                <w:lang w:val="it-IT"/>
              </w:rPr>
              <w:t>contracteze</w:t>
            </w:r>
            <w:proofErr w:type="spellEnd"/>
            <w:r w:rsidRPr="00320CA4">
              <w:rPr>
                <w:b w:val="0"/>
                <w:sz w:val="22"/>
                <w:szCs w:val="22"/>
                <w:lang w:val="it-IT"/>
              </w:rPr>
              <w:t xml:space="preserve"> </w:t>
            </w:r>
            <w:proofErr w:type="spellStart"/>
            <w:r w:rsidRPr="00320CA4">
              <w:rPr>
                <w:b w:val="0"/>
                <w:sz w:val="22"/>
                <w:szCs w:val="22"/>
                <w:lang w:val="it-IT"/>
              </w:rPr>
              <w:t>servicii</w:t>
            </w:r>
            <w:proofErr w:type="spellEnd"/>
            <w:r w:rsidRPr="00320CA4">
              <w:rPr>
                <w:b w:val="0"/>
                <w:sz w:val="22"/>
                <w:szCs w:val="22"/>
                <w:lang w:val="it-IT"/>
              </w:rPr>
              <w:t xml:space="preserve"> de echilibrare </w:t>
            </w:r>
            <w:proofErr w:type="spellStart"/>
            <w:r w:rsidRPr="00320CA4">
              <w:rPr>
                <w:b w:val="0"/>
                <w:sz w:val="22"/>
                <w:szCs w:val="22"/>
                <w:lang w:val="it-IT"/>
              </w:rPr>
              <w:t>în</w:t>
            </w:r>
            <w:proofErr w:type="spellEnd"/>
            <w:r w:rsidRPr="00320CA4">
              <w:rPr>
                <w:b w:val="0"/>
                <w:sz w:val="22"/>
                <w:szCs w:val="22"/>
                <w:lang w:val="it-IT"/>
              </w:rPr>
              <w:t xml:space="preserve"> </w:t>
            </w:r>
            <w:proofErr w:type="spellStart"/>
            <w:r w:rsidRPr="00320CA4">
              <w:rPr>
                <w:b w:val="0"/>
                <w:sz w:val="22"/>
                <w:szCs w:val="22"/>
                <w:lang w:val="it-IT"/>
              </w:rPr>
              <w:t>bază</w:t>
            </w:r>
            <w:proofErr w:type="spellEnd"/>
            <w:r w:rsidRPr="00320CA4">
              <w:rPr>
                <w:b w:val="0"/>
                <w:sz w:val="22"/>
                <w:szCs w:val="22"/>
                <w:lang w:val="it-IT"/>
              </w:rPr>
              <w:t xml:space="preserve"> de </w:t>
            </w:r>
            <w:proofErr w:type="spellStart"/>
            <w:r w:rsidRPr="00320CA4">
              <w:rPr>
                <w:b w:val="0"/>
                <w:sz w:val="22"/>
                <w:szCs w:val="22"/>
                <w:lang w:val="it-IT"/>
              </w:rPr>
              <w:t>licitație</w:t>
            </w:r>
            <w:proofErr w:type="spellEnd"/>
            <w:r w:rsidRPr="00320CA4">
              <w:rPr>
                <w:b w:val="0"/>
                <w:sz w:val="22"/>
                <w:szCs w:val="22"/>
                <w:lang w:val="it-IT"/>
              </w:rPr>
              <w:t xml:space="preserve"> </w:t>
            </w:r>
            <w:proofErr w:type="spellStart"/>
            <w:r w:rsidR="00320CA4" w:rsidRPr="00320CA4">
              <w:rPr>
                <w:b w:val="0"/>
                <w:sz w:val="22"/>
                <w:szCs w:val="22"/>
                <w:lang w:val="it-IT"/>
              </w:rPr>
              <w:t>conform</w:t>
            </w:r>
            <w:proofErr w:type="spellEnd"/>
            <w:r w:rsidRPr="00320CA4">
              <w:rPr>
                <w:b w:val="0"/>
                <w:sz w:val="22"/>
                <w:szCs w:val="22"/>
                <w:lang w:val="it-IT"/>
              </w:rPr>
              <w:t xml:space="preserve"> </w:t>
            </w:r>
            <w:proofErr w:type="spellStart"/>
            <w:r w:rsidRPr="00320CA4">
              <w:rPr>
                <w:b w:val="0"/>
                <w:sz w:val="22"/>
                <w:szCs w:val="22"/>
                <w:lang w:val="it-IT"/>
              </w:rPr>
              <w:t>condițiilor</w:t>
            </w:r>
            <w:proofErr w:type="spellEnd"/>
            <w:r w:rsidRPr="00320CA4">
              <w:rPr>
                <w:b w:val="0"/>
                <w:sz w:val="22"/>
                <w:szCs w:val="22"/>
                <w:lang w:val="it-IT"/>
              </w:rPr>
              <w:t xml:space="preserve"> </w:t>
            </w:r>
            <w:proofErr w:type="spellStart"/>
            <w:r w:rsidR="00320CA4" w:rsidRPr="00320CA4">
              <w:rPr>
                <w:b w:val="0"/>
                <w:sz w:val="22"/>
                <w:szCs w:val="22"/>
                <w:lang w:val="it-IT"/>
              </w:rPr>
              <w:t>aprobate</w:t>
            </w:r>
            <w:proofErr w:type="spellEnd"/>
            <w:r w:rsidR="00320CA4" w:rsidRPr="00320CA4">
              <w:rPr>
                <w:b w:val="0"/>
                <w:sz w:val="22"/>
                <w:szCs w:val="22"/>
                <w:lang w:val="it-IT"/>
              </w:rPr>
              <w:t xml:space="preserve"> de ANRE. </w:t>
            </w:r>
            <w:proofErr w:type="spellStart"/>
            <w:r w:rsidRPr="00320CA4">
              <w:rPr>
                <w:b w:val="0"/>
                <w:sz w:val="22"/>
                <w:szCs w:val="22"/>
                <w:lang w:val="it-IT"/>
              </w:rPr>
              <w:t>Regulilor</w:t>
            </w:r>
            <w:proofErr w:type="spellEnd"/>
            <w:r w:rsidRPr="00320CA4">
              <w:rPr>
                <w:b w:val="0"/>
                <w:sz w:val="22"/>
                <w:szCs w:val="22"/>
                <w:lang w:val="it-IT"/>
              </w:rPr>
              <w:t xml:space="preserve"> </w:t>
            </w:r>
            <w:proofErr w:type="spellStart"/>
            <w:r w:rsidRPr="00320CA4">
              <w:rPr>
                <w:b w:val="0"/>
                <w:sz w:val="22"/>
                <w:szCs w:val="22"/>
                <w:lang w:val="it-IT"/>
              </w:rPr>
              <w:t>pieței</w:t>
            </w:r>
            <w:proofErr w:type="spellEnd"/>
            <w:r w:rsidR="00320CA4" w:rsidRPr="00320CA4">
              <w:rPr>
                <w:b w:val="0"/>
                <w:sz w:val="22"/>
                <w:szCs w:val="22"/>
                <w:lang w:val="it-IT"/>
              </w:rPr>
              <w:t xml:space="preserve"> </w:t>
            </w:r>
            <w:proofErr w:type="spellStart"/>
            <w:r w:rsidR="00320CA4" w:rsidRPr="00320CA4">
              <w:rPr>
                <w:b w:val="0"/>
                <w:sz w:val="22"/>
                <w:szCs w:val="22"/>
                <w:lang w:val="it-IT"/>
              </w:rPr>
              <w:t>gazelor</w:t>
            </w:r>
            <w:proofErr w:type="spellEnd"/>
            <w:r w:rsidR="00320CA4" w:rsidRPr="00320CA4">
              <w:rPr>
                <w:b w:val="0"/>
                <w:sz w:val="22"/>
                <w:szCs w:val="22"/>
                <w:lang w:val="it-IT"/>
              </w:rPr>
              <w:t xml:space="preserve"> naturale</w:t>
            </w:r>
            <w:r w:rsidRPr="00320CA4">
              <w:rPr>
                <w:b w:val="0"/>
                <w:sz w:val="22"/>
                <w:szCs w:val="22"/>
                <w:lang w:val="it-IT"/>
              </w:rPr>
              <w:t xml:space="preserve"> </w:t>
            </w:r>
            <w:proofErr w:type="spellStart"/>
            <w:r w:rsidRPr="00320CA4">
              <w:rPr>
                <w:b w:val="0"/>
                <w:sz w:val="22"/>
                <w:szCs w:val="22"/>
                <w:lang w:val="it-IT"/>
              </w:rPr>
              <w:t>prevăd</w:t>
            </w:r>
            <w:proofErr w:type="spellEnd"/>
            <w:r w:rsidRPr="00320CA4">
              <w:rPr>
                <w:b w:val="0"/>
                <w:sz w:val="22"/>
                <w:szCs w:val="22"/>
                <w:lang w:val="it-IT"/>
              </w:rPr>
              <w:t xml:space="preserve"> </w:t>
            </w:r>
            <w:proofErr w:type="spellStart"/>
            <w:r w:rsidRPr="00320CA4">
              <w:rPr>
                <w:b w:val="0"/>
                <w:sz w:val="22"/>
                <w:szCs w:val="22"/>
                <w:lang w:val="it-IT"/>
              </w:rPr>
              <w:t>că</w:t>
            </w:r>
            <w:proofErr w:type="spellEnd"/>
            <w:r w:rsidRPr="00320CA4">
              <w:rPr>
                <w:b w:val="0"/>
                <w:sz w:val="22"/>
                <w:szCs w:val="22"/>
                <w:lang w:val="it-IT"/>
              </w:rPr>
              <w:t xml:space="preserve">  </w:t>
            </w:r>
            <w:r w:rsidRPr="00320CA4">
              <w:rPr>
                <w:b w:val="0"/>
                <w:sz w:val="22"/>
                <w:szCs w:val="22"/>
                <w:lang w:val="en-US"/>
              </w:rPr>
              <w:t xml:space="preserve">OST </w:t>
            </w:r>
            <w:proofErr w:type="spellStart"/>
            <w:r w:rsidRPr="00320CA4">
              <w:rPr>
                <w:b w:val="0"/>
                <w:sz w:val="22"/>
                <w:szCs w:val="22"/>
                <w:lang w:val="en-US"/>
              </w:rPr>
              <w:t>achiziționează</w:t>
            </w:r>
            <w:proofErr w:type="spellEnd"/>
            <w:r w:rsidRPr="00320CA4">
              <w:rPr>
                <w:b w:val="0"/>
                <w:sz w:val="22"/>
                <w:szCs w:val="22"/>
                <w:lang w:val="en-US"/>
              </w:rPr>
              <w:t xml:space="preserve"> </w:t>
            </w:r>
            <w:proofErr w:type="spellStart"/>
            <w:r w:rsidRPr="00320CA4">
              <w:rPr>
                <w:b w:val="0"/>
                <w:sz w:val="22"/>
                <w:szCs w:val="22"/>
                <w:lang w:val="en-US"/>
              </w:rPr>
              <w:t>servicii</w:t>
            </w:r>
            <w:proofErr w:type="spellEnd"/>
            <w:r w:rsidRPr="00320CA4">
              <w:rPr>
                <w:b w:val="0"/>
                <w:sz w:val="22"/>
                <w:szCs w:val="22"/>
                <w:lang w:val="en-US"/>
              </w:rPr>
              <w:t xml:space="preserve"> de echilibrare </w:t>
            </w:r>
            <w:proofErr w:type="spellStart"/>
            <w:r w:rsidRPr="00320CA4">
              <w:rPr>
                <w:b w:val="0"/>
                <w:sz w:val="22"/>
                <w:szCs w:val="22"/>
                <w:lang w:val="en-US"/>
              </w:rPr>
              <w:t>în</w:t>
            </w:r>
            <w:proofErr w:type="spellEnd"/>
            <w:r w:rsidRPr="00320CA4">
              <w:rPr>
                <w:b w:val="0"/>
                <w:sz w:val="22"/>
                <w:szCs w:val="22"/>
                <w:lang w:val="en-US"/>
              </w:rPr>
              <w:t xml:space="preserve"> </w:t>
            </w:r>
            <w:proofErr w:type="spellStart"/>
            <w:r w:rsidRPr="00320CA4">
              <w:rPr>
                <w:b w:val="0"/>
                <w:sz w:val="22"/>
                <w:szCs w:val="22"/>
                <w:lang w:val="en-US"/>
              </w:rPr>
              <w:t>acele</w:t>
            </w:r>
            <w:proofErr w:type="spellEnd"/>
            <w:r w:rsidRPr="00320CA4">
              <w:rPr>
                <w:b w:val="0"/>
                <w:sz w:val="22"/>
                <w:szCs w:val="22"/>
                <w:lang w:val="en-US"/>
              </w:rPr>
              <w:t xml:space="preserve"> </w:t>
            </w:r>
            <w:proofErr w:type="spellStart"/>
            <w:r w:rsidRPr="00320CA4">
              <w:rPr>
                <w:b w:val="0"/>
                <w:sz w:val="22"/>
                <w:szCs w:val="22"/>
                <w:lang w:val="en-US"/>
              </w:rPr>
              <w:t>situații</w:t>
            </w:r>
            <w:proofErr w:type="spellEnd"/>
            <w:r w:rsidRPr="00320CA4">
              <w:rPr>
                <w:b w:val="0"/>
                <w:sz w:val="22"/>
                <w:szCs w:val="22"/>
                <w:lang w:val="en-US"/>
              </w:rPr>
              <w:t xml:space="preserve"> </w:t>
            </w:r>
            <w:proofErr w:type="spellStart"/>
            <w:r w:rsidRPr="00320CA4">
              <w:rPr>
                <w:b w:val="0"/>
                <w:sz w:val="22"/>
                <w:szCs w:val="22"/>
                <w:lang w:val="en-US"/>
              </w:rPr>
              <w:t>în</w:t>
            </w:r>
            <w:proofErr w:type="spellEnd"/>
            <w:r w:rsidRPr="00320CA4">
              <w:rPr>
                <w:b w:val="0"/>
                <w:sz w:val="22"/>
                <w:szCs w:val="22"/>
                <w:lang w:val="en-US"/>
              </w:rPr>
              <w:t xml:space="preserve"> care PSTS nu pot fi </w:t>
            </w:r>
            <w:proofErr w:type="spellStart"/>
            <w:r w:rsidRPr="00320CA4">
              <w:rPr>
                <w:b w:val="0"/>
                <w:sz w:val="22"/>
                <w:szCs w:val="22"/>
                <w:lang w:val="en-US"/>
              </w:rPr>
              <w:t>furnizate</w:t>
            </w:r>
            <w:proofErr w:type="spellEnd"/>
            <w:r w:rsidRPr="00320CA4">
              <w:rPr>
                <w:b w:val="0"/>
                <w:sz w:val="22"/>
                <w:szCs w:val="22"/>
                <w:lang w:val="en-US"/>
              </w:rPr>
              <w:t xml:space="preserve">, </w:t>
            </w:r>
            <w:proofErr w:type="spellStart"/>
            <w:r w:rsidRPr="00320CA4">
              <w:rPr>
                <w:b w:val="0"/>
                <w:sz w:val="22"/>
                <w:szCs w:val="22"/>
                <w:lang w:val="en-US"/>
              </w:rPr>
              <w:t>sau</w:t>
            </w:r>
            <w:proofErr w:type="spellEnd"/>
            <w:r w:rsidRPr="00320CA4">
              <w:rPr>
                <w:b w:val="0"/>
                <w:sz w:val="22"/>
                <w:szCs w:val="22"/>
                <w:lang w:val="en-US"/>
              </w:rPr>
              <w:t xml:space="preserve"> nu </w:t>
            </w:r>
            <w:proofErr w:type="spellStart"/>
            <w:r w:rsidRPr="00320CA4">
              <w:rPr>
                <w:b w:val="0"/>
                <w:sz w:val="22"/>
                <w:szCs w:val="22"/>
                <w:lang w:val="en-US"/>
              </w:rPr>
              <w:t>vor</w:t>
            </w:r>
            <w:proofErr w:type="spellEnd"/>
            <w:r w:rsidRPr="00320CA4">
              <w:rPr>
                <w:b w:val="0"/>
                <w:sz w:val="22"/>
                <w:szCs w:val="22"/>
                <w:lang w:val="en-US"/>
              </w:rPr>
              <w:t xml:space="preserve"> fi </w:t>
            </w:r>
            <w:proofErr w:type="spellStart"/>
            <w:r w:rsidRPr="00320CA4">
              <w:rPr>
                <w:b w:val="0"/>
                <w:sz w:val="22"/>
                <w:szCs w:val="22"/>
                <w:lang w:val="en-US"/>
              </w:rPr>
              <w:t>suficiente</w:t>
            </w:r>
            <w:proofErr w:type="spellEnd"/>
            <w:r w:rsidRPr="00320CA4">
              <w:rPr>
                <w:b w:val="0"/>
                <w:sz w:val="22"/>
                <w:szCs w:val="22"/>
                <w:lang w:val="en-US"/>
              </w:rPr>
              <w:t xml:space="preserve"> </w:t>
            </w:r>
            <w:proofErr w:type="spellStart"/>
            <w:r w:rsidRPr="00320CA4">
              <w:rPr>
                <w:b w:val="0"/>
                <w:sz w:val="22"/>
                <w:szCs w:val="22"/>
                <w:lang w:val="en-US"/>
              </w:rPr>
              <w:t>pentru</w:t>
            </w:r>
            <w:proofErr w:type="spellEnd"/>
            <w:r w:rsidRPr="00320CA4">
              <w:rPr>
                <w:b w:val="0"/>
                <w:sz w:val="22"/>
                <w:szCs w:val="22"/>
                <w:lang w:val="en-US"/>
              </w:rPr>
              <w:t xml:space="preserve"> </w:t>
            </w:r>
            <w:proofErr w:type="spellStart"/>
            <w:r w:rsidRPr="00320CA4">
              <w:rPr>
                <w:b w:val="0"/>
                <w:sz w:val="22"/>
                <w:szCs w:val="22"/>
                <w:lang w:val="en-US"/>
              </w:rPr>
              <w:t>menținerea</w:t>
            </w:r>
            <w:proofErr w:type="spellEnd"/>
            <w:r w:rsidRPr="00320CA4">
              <w:rPr>
                <w:b w:val="0"/>
                <w:sz w:val="22"/>
                <w:szCs w:val="22"/>
                <w:lang w:val="en-US"/>
              </w:rPr>
              <w:t xml:space="preserve"> </w:t>
            </w:r>
            <w:proofErr w:type="spellStart"/>
            <w:r w:rsidRPr="00320CA4">
              <w:rPr>
                <w:b w:val="0"/>
                <w:sz w:val="22"/>
                <w:szCs w:val="22"/>
                <w:lang w:val="en-US"/>
              </w:rPr>
              <w:t>parametrilor</w:t>
            </w:r>
            <w:proofErr w:type="spellEnd"/>
            <w:r w:rsidRPr="00320CA4">
              <w:rPr>
                <w:b w:val="0"/>
                <w:sz w:val="22"/>
                <w:szCs w:val="22"/>
                <w:lang w:val="en-US"/>
              </w:rPr>
              <w:t xml:space="preserve"> </w:t>
            </w:r>
            <w:proofErr w:type="spellStart"/>
            <w:r w:rsidRPr="00320CA4">
              <w:rPr>
                <w:b w:val="0"/>
                <w:sz w:val="22"/>
                <w:szCs w:val="22"/>
                <w:lang w:val="en-US"/>
              </w:rPr>
              <w:t>tehnici</w:t>
            </w:r>
            <w:proofErr w:type="spellEnd"/>
            <w:r w:rsidRPr="00320CA4">
              <w:rPr>
                <w:b w:val="0"/>
                <w:sz w:val="22"/>
                <w:szCs w:val="22"/>
                <w:lang w:val="en-US"/>
              </w:rPr>
              <w:t xml:space="preserve"> de </w:t>
            </w:r>
            <w:proofErr w:type="spellStart"/>
            <w:r w:rsidRPr="00320CA4">
              <w:rPr>
                <w:b w:val="0"/>
                <w:sz w:val="22"/>
                <w:szCs w:val="22"/>
                <w:lang w:val="en-US"/>
              </w:rPr>
              <w:t>funcționare</w:t>
            </w:r>
            <w:proofErr w:type="spellEnd"/>
            <w:r w:rsidRPr="00320CA4">
              <w:rPr>
                <w:b w:val="0"/>
                <w:sz w:val="22"/>
                <w:szCs w:val="22"/>
                <w:lang w:val="en-US"/>
              </w:rPr>
              <w:t xml:space="preserve"> </w:t>
            </w:r>
            <w:proofErr w:type="spellStart"/>
            <w:r w:rsidRPr="00320CA4">
              <w:rPr>
                <w:b w:val="0"/>
                <w:sz w:val="22"/>
                <w:szCs w:val="22"/>
                <w:lang w:val="en-US"/>
              </w:rPr>
              <w:t>ai</w:t>
            </w:r>
            <w:proofErr w:type="spellEnd"/>
            <w:r w:rsidRPr="00320CA4">
              <w:rPr>
                <w:b w:val="0"/>
                <w:sz w:val="22"/>
                <w:szCs w:val="22"/>
                <w:lang w:val="en-US"/>
              </w:rPr>
              <w:t xml:space="preserve"> </w:t>
            </w:r>
            <w:proofErr w:type="spellStart"/>
            <w:r w:rsidRPr="00320CA4">
              <w:rPr>
                <w:b w:val="0"/>
                <w:sz w:val="22"/>
                <w:szCs w:val="22"/>
                <w:lang w:val="en-US"/>
              </w:rPr>
              <w:t>rețelei</w:t>
            </w:r>
            <w:proofErr w:type="spellEnd"/>
            <w:r w:rsidRPr="00320CA4">
              <w:rPr>
                <w:b w:val="0"/>
                <w:sz w:val="22"/>
                <w:szCs w:val="22"/>
                <w:lang w:val="en-US"/>
              </w:rPr>
              <w:t xml:space="preserve"> de transport al </w:t>
            </w:r>
            <w:proofErr w:type="spellStart"/>
            <w:r w:rsidRPr="00320CA4">
              <w:rPr>
                <w:b w:val="0"/>
                <w:sz w:val="22"/>
                <w:szCs w:val="22"/>
                <w:lang w:val="en-US"/>
              </w:rPr>
              <w:t>gazelor</w:t>
            </w:r>
            <w:proofErr w:type="spellEnd"/>
            <w:r w:rsidRPr="00320CA4">
              <w:rPr>
                <w:b w:val="0"/>
                <w:sz w:val="22"/>
                <w:szCs w:val="22"/>
                <w:lang w:val="en-US"/>
              </w:rPr>
              <w:t xml:space="preserve"> </w:t>
            </w:r>
            <w:proofErr w:type="spellStart"/>
            <w:r w:rsidRPr="00320CA4">
              <w:rPr>
                <w:b w:val="0"/>
                <w:sz w:val="22"/>
                <w:szCs w:val="22"/>
                <w:lang w:val="en-US"/>
              </w:rPr>
              <w:t>naturale</w:t>
            </w:r>
            <w:proofErr w:type="spellEnd"/>
            <w:r w:rsidRPr="00320CA4">
              <w:rPr>
                <w:b w:val="0"/>
                <w:sz w:val="22"/>
                <w:szCs w:val="22"/>
                <w:lang w:val="en-US"/>
              </w:rPr>
              <w:t xml:space="preserve"> </w:t>
            </w:r>
            <w:proofErr w:type="spellStart"/>
            <w:r w:rsidRPr="00320CA4">
              <w:rPr>
                <w:b w:val="0"/>
                <w:sz w:val="22"/>
                <w:szCs w:val="22"/>
                <w:lang w:val="en-US"/>
              </w:rPr>
              <w:t>în</w:t>
            </w:r>
            <w:proofErr w:type="spellEnd"/>
            <w:r w:rsidRPr="00320CA4">
              <w:rPr>
                <w:b w:val="0"/>
                <w:sz w:val="22"/>
                <w:szCs w:val="22"/>
                <w:lang w:val="en-US"/>
              </w:rPr>
              <w:t xml:space="preserve"> </w:t>
            </w:r>
            <w:proofErr w:type="spellStart"/>
            <w:r w:rsidRPr="00320CA4">
              <w:rPr>
                <w:b w:val="0"/>
                <w:sz w:val="22"/>
                <w:szCs w:val="22"/>
                <w:lang w:val="en-US"/>
              </w:rPr>
              <w:t>limitele</w:t>
            </w:r>
            <w:proofErr w:type="spellEnd"/>
            <w:r w:rsidRPr="00320CA4">
              <w:rPr>
                <w:b w:val="0"/>
                <w:sz w:val="22"/>
                <w:szCs w:val="22"/>
                <w:lang w:val="en-US"/>
              </w:rPr>
              <w:t xml:space="preserve"> </w:t>
            </w:r>
            <w:proofErr w:type="spellStart"/>
            <w:r w:rsidRPr="00320CA4">
              <w:rPr>
                <w:b w:val="0"/>
                <w:sz w:val="22"/>
                <w:szCs w:val="22"/>
                <w:lang w:val="en-US"/>
              </w:rPr>
              <w:t>operaționale</w:t>
            </w:r>
            <w:proofErr w:type="spellEnd"/>
            <w:r w:rsidRPr="00320CA4">
              <w:rPr>
                <w:b w:val="0"/>
                <w:sz w:val="22"/>
                <w:szCs w:val="22"/>
                <w:lang w:val="en-US"/>
              </w:rPr>
              <w:t xml:space="preserve">, </w:t>
            </w:r>
            <w:proofErr w:type="spellStart"/>
            <w:r w:rsidRPr="00320CA4">
              <w:rPr>
                <w:b w:val="0"/>
                <w:sz w:val="22"/>
                <w:szCs w:val="22"/>
                <w:lang w:val="en-US"/>
              </w:rPr>
              <w:t>sau</w:t>
            </w:r>
            <w:proofErr w:type="spellEnd"/>
            <w:r w:rsidRPr="00320CA4">
              <w:rPr>
                <w:b w:val="0"/>
                <w:sz w:val="22"/>
                <w:szCs w:val="22"/>
                <w:lang w:val="en-US"/>
              </w:rPr>
              <w:t xml:space="preserve"> </w:t>
            </w:r>
            <w:proofErr w:type="spellStart"/>
            <w:r w:rsidRPr="00320CA4">
              <w:rPr>
                <w:b w:val="0"/>
                <w:sz w:val="22"/>
                <w:szCs w:val="22"/>
                <w:lang w:val="en-US"/>
              </w:rPr>
              <w:t>în</w:t>
            </w:r>
            <w:proofErr w:type="spellEnd"/>
            <w:r w:rsidRPr="00320CA4">
              <w:rPr>
                <w:b w:val="0"/>
                <w:sz w:val="22"/>
                <w:szCs w:val="22"/>
                <w:lang w:val="en-US"/>
              </w:rPr>
              <w:t xml:space="preserve"> </w:t>
            </w:r>
            <w:proofErr w:type="spellStart"/>
            <w:r w:rsidRPr="00320CA4">
              <w:rPr>
                <w:b w:val="0"/>
                <w:sz w:val="22"/>
                <w:szCs w:val="22"/>
                <w:lang w:val="en-US"/>
              </w:rPr>
              <w:t>absența</w:t>
            </w:r>
            <w:proofErr w:type="spellEnd"/>
            <w:r w:rsidRPr="00320CA4">
              <w:rPr>
                <w:b w:val="0"/>
                <w:sz w:val="22"/>
                <w:szCs w:val="22"/>
                <w:lang w:val="en-US"/>
              </w:rPr>
              <w:t xml:space="preserve"> </w:t>
            </w:r>
            <w:proofErr w:type="spellStart"/>
            <w:r w:rsidRPr="00320CA4">
              <w:rPr>
                <w:b w:val="0"/>
                <w:sz w:val="22"/>
                <w:szCs w:val="22"/>
                <w:lang w:val="en-US"/>
              </w:rPr>
              <w:t>lichidității</w:t>
            </w:r>
            <w:proofErr w:type="spellEnd"/>
            <w:r w:rsidRPr="00320CA4">
              <w:rPr>
                <w:b w:val="0"/>
                <w:sz w:val="22"/>
                <w:szCs w:val="22"/>
                <w:lang w:val="en-US"/>
              </w:rPr>
              <w:t xml:space="preserve"> </w:t>
            </w:r>
            <w:proofErr w:type="spellStart"/>
            <w:r w:rsidRPr="00320CA4">
              <w:rPr>
                <w:b w:val="0"/>
                <w:sz w:val="22"/>
                <w:szCs w:val="22"/>
                <w:lang w:val="en-US"/>
              </w:rPr>
              <w:t>pe</w:t>
            </w:r>
            <w:proofErr w:type="spellEnd"/>
            <w:r w:rsidRPr="00320CA4">
              <w:rPr>
                <w:b w:val="0"/>
                <w:sz w:val="22"/>
                <w:szCs w:val="22"/>
                <w:lang w:val="en-US"/>
              </w:rPr>
              <w:t xml:space="preserve"> </w:t>
            </w:r>
            <w:proofErr w:type="spellStart"/>
            <w:r w:rsidRPr="00320CA4">
              <w:rPr>
                <w:b w:val="0"/>
                <w:sz w:val="22"/>
                <w:szCs w:val="22"/>
                <w:lang w:val="en-US"/>
              </w:rPr>
              <w:t>piața</w:t>
            </w:r>
            <w:proofErr w:type="spellEnd"/>
            <w:r w:rsidRPr="00320CA4">
              <w:rPr>
                <w:b w:val="0"/>
                <w:sz w:val="22"/>
                <w:szCs w:val="22"/>
                <w:lang w:val="en-US"/>
              </w:rPr>
              <w:t xml:space="preserve"> de gaze </w:t>
            </w:r>
            <w:proofErr w:type="spellStart"/>
            <w:r w:rsidRPr="00320CA4">
              <w:rPr>
                <w:b w:val="0"/>
                <w:sz w:val="22"/>
                <w:szCs w:val="22"/>
                <w:lang w:val="en-US"/>
              </w:rPr>
              <w:t>naturale</w:t>
            </w:r>
            <w:proofErr w:type="spellEnd"/>
            <w:r w:rsidRPr="00320CA4">
              <w:rPr>
                <w:b w:val="0"/>
                <w:sz w:val="22"/>
                <w:szCs w:val="22"/>
                <w:lang w:val="en-US"/>
              </w:rPr>
              <w:t xml:space="preserve"> </w:t>
            </w:r>
            <w:proofErr w:type="spellStart"/>
            <w:r w:rsidRPr="00320CA4">
              <w:rPr>
                <w:b w:val="0"/>
                <w:sz w:val="22"/>
                <w:szCs w:val="22"/>
                <w:lang w:val="en-US"/>
              </w:rPr>
              <w:t>în</w:t>
            </w:r>
            <w:proofErr w:type="spellEnd"/>
            <w:r w:rsidRPr="00320CA4">
              <w:rPr>
                <w:b w:val="0"/>
                <w:sz w:val="22"/>
                <w:szCs w:val="22"/>
                <w:lang w:val="en-US"/>
              </w:rPr>
              <w:t xml:space="preserve"> </w:t>
            </w:r>
            <w:proofErr w:type="spellStart"/>
            <w:r w:rsidRPr="00320CA4">
              <w:rPr>
                <w:b w:val="0"/>
                <w:sz w:val="22"/>
                <w:szCs w:val="22"/>
                <w:lang w:val="en-US"/>
              </w:rPr>
              <w:t>ceea</w:t>
            </w:r>
            <w:proofErr w:type="spellEnd"/>
            <w:r w:rsidRPr="00320CA4">
              <w:rPr>
                <w:b w:val="0"/>
                <w:sz w:val="22"/>
                <w:szCs w:val="22"/>
                <w:lang w:val="en-US"/>
              </w:rPr>
              <w:t xml:space="preserve"> </w:t>
            </w:r>
            <w:proofErr w:type="spellStart"/>
            <w:r w:rsidRPr="00320CA4">
              <w:rPr>
                <w:b w:val="0"/>
                <w:sz w:val="22"/>
                <w:szCs w:val="22"/>
                <w:lang w:val="en-US"/>
              </w:rPr>
              <w:t>ce</w:t>
            </w:r>
            <w:proofErr w:type="spellEnd"/>
            <w:r w:rsidRPr="00320CA4">
              <w:rPr>
                <w:b w:val="0"/>
                <w:sz w:val="22"/>
                <w:szCs w:val="22"/>
                <w:lang w:val="en-US"/>
              </w:rPr>
              <w:t xml:space="preserve"> </w:t>
            </w:r>
            <w:proofErr w:type="spellStart"/>
            <w:r w:rsidRPr="00320CA4">
              <w:rPr>
                <w:b w:val="0"/>
                <w:sz w:val="22"/>
                <w:szCs w:val="22"/>
                <w:lang w:val="en-US"/>
              </w:rPr>
              <w:t>privește</w:t>
            </w:r>
            <w:proofErr w:type="spellEnd"/>
            <w:r w:rsidRPr="00320CA4">
              <w:rPr>
                <w:b w:val="0"/>
                <w:sz w:val="22"/>
                <w:szCs w:val="22"/>
                <w:lang w:val="en-US"/>
              </w:rPr>
              <w:t xml:space="preserve"> PSTS</w:t>
            </w:r>
            <w:r w:rsidRPr="00320CA4">
              <w:rPr>
                <w:sz w:val="22"/>
                <w:szCs w:val="22"/>
                <w:lang w:val="en-US"/>
              </w:rPr>
              <w:t>.</w:t>
            </w:r>
          </w:p>
        </w:tc>
      </w:tr>
      <w:tr w:rsidR="009F2860" w:rsidRPr="0079718A" w14:paraId="29622F72" w14:textId="77777777" w:rsidTr="006C7A87">
        <w:trPr>
          <w:trHeight w:val="70"/>
        </w:trPr>
        <w:tc>
          <w:tcPr>
            <w:tcW w:w="327" w:type="pct"/>
            <w:vAlign w:val="center"/>
          </w:tcPr>
          <w:p w14:paraId="7D252782" w14:textId="289C20B3" w:rsidR="009F2860" w:rsidRPr="000B038D" w:rsidRDefault="009F2860" w:rsidP="009F2860">
            <w:pPr>
              <w:jc w:val="center"/>
              <w:rPr>
                <w:b/>
                <w:bCs/>
                <w:sz w:val="22"/>
                <w:szCs w:val="22"/>
                <w:lang w:val="ro-RO"/>
              </w:rPr>
            </w:pPr>
            <w:r w:rsidRPr="000B038D">
              <w:rPr>
                <w:sz w:val="22"/>
                <w:szCs w:val="22"/>
                <w:lang w:val="ro-RO"/>
              </w:rPr>
              <w:t>Pct.</w:t>
            </w:r>
            <w:r>
              <w:rPr>
                <w:sz w:val="22"/>
                <w:szCs w:val="22"/>
                <w:lang w:val="ro-RO"/>
              </w:rPr>
              <w:t xml:space="preserve"> </w:t>
            </w:r>
            <w:r w:rsidRPr="000B038D">
              <w:rPr>
                <w:sz w:val="22"/>
                <w:szCs w:val="22"/>
                <w:lang w:val="ro-RO"/>
              </w:rPr>
              <w:t>7, 8</w:t>
            </w:r>
          </w:p>
        </w:tc>
        <w:tc>
          <w:tcPr>
            <w:tcW w:w="602" w:type="pct"/>
            <w:vAlign w:val="center"/>
          </w:tcPr>
          <w:p w14:paraId="02562D74" w14:textId="77777777" w:rsidR="009F2860" w:rsidRPr="000B038D" w:rsidRDefault="009F2860" w:rsidP="009F2860">
            <w:pPr>
              <w:jc w:val="center"/>
              <w:rPr>
                <w:b/>
                <w:bCs/>
                <w:sz w:val="22"/>
                <w:szCs w:val="22"/>
                <w:lang w:val="ro-RO"/>
              </w:rPr>
            </w:pPr>
            <w:r w:rsidRPr="000B038D">
              <w:rPr>
                <w:sz w:val="22"/>
                <w:szCs w:val="22"/>
                <w:lang w:val="it-IT"/>
              </w:rPr>
              <w:t xml:space="preserve">SA </w:t>
            </w:r>
            <w:r w:rsidRPr="000B038D">
              <w:rPr>
                <w:sz w:val="22"/>
                <w:szCs w:val="22"/>
                <w:lang w:val="ro-RO"/>
              </w:rPr>
              <w:t>„</w:t>
            </w:r>
            <w:proofErr w:type="spellStart"/>
            <w:r w:rsidRPr="000B038D">
              <w:rPr>
                <w:sz w:val="22"/>
                <w:szCs w:val="22"/>
                <w:lang w:val="it-IT"/>
              </w:rPr>
              <w:t>Moldovagaz</w:t>
            </w:r>
            <w:proofErr w:type="spellEnd"/>
            <w:r w:rsidRPr="000B038D">
              <w:rPr>
                <w:sz w:val="22"/>
                <w:szCs w:val="22"/>
                <w:lang w:val="ro-RO"/>
              </w:rPr>
              <w:t>”</w:t>
            </w:r>
          </w:p>
          <w:p w14:paraId="3F1A7D01" w14:textId="06E773A0" w:rsidR="009F2860" w:rsidRPr="000B038D" w:rsidRDefault="009F2860" w:rsidP="009F2860">
            <w:pPr>
              <w:jc w:val="center"/>
              <w:rPr>
                <w:b/>
                <w:bCs/>
                <w:sz w:val="22"/>
                <w:szCs w:val="22"/>
                <w:lang w:val="it-IT"/>
              </w:rPr>
            </w:pPr>
            <w:r w:rsidRPr="000B038D">
              <w:rPr>
                <w:sz w:val="22"/>
                <w:szCs w:val="22"/>
                <w:lang w:val="ro-RO"/>
              </w:rPr>
              <w:t>nr. 02/2-2475 din 03.09.2024</w:t>
            </w:r>
          </w:p>
          <w:p w14:paraId="1569A59C" w14:textId="719C5060" w:rsidR="009F2860" w:rsidRPr="000B038D" w:rsidRDefault="009F2860" w:rsidP="009F2860">
            <w:pPr>
              <w:jc w:val="center"/>
              <w:rPr>
                <w:sz w:val="22"/>
                <w:szCs w:val="22"/>
                <w:lang w:val="it-IT"/>
              </w:rPr>
            </w:pPr>
          </w:p>
        </w:tc>
        <w:tc>
          <w:tcPr>
            <w:tcW w:w="1309" w:type="pct"/>
          </w:tcPr>
          <w:p w14:paraId="7E43139D" w14:textId="296720BB" w:rsidR="009F2860" w:rsidRPr="000B038D" w:rsidRDefault="009F2860" w:rsidP="00B3091C">
            <w:pPr>
              <w:tabs>
                <w:tab w:val="left" w:pos="0"/>
                <w:tab w:val="left" w:pos="241"/>
                <w:tab w:val="left" w:pos="284"/>
              </w:tabs>
              <w:jc w:val="both"/>
              <w:rPr>
                <w:sz w:val="22"/>
                <w:szCs w:val="22"/>
                <w:lang w:val="ro-MD"/>
              </w:rPr>
            </w:pPr>
            <w:r w:rsidRPr="00823440">
              <w:rPr>
                <w:b/>
                <w:sz w:val="22"/>
                <w:szCs w:val="22"/>
                <w:lang w:val="ro-MD"/>
              </w:rPr>
              <w:t>7.</w:t>
            </w:r>
            <w:r>
              <w:rPr>
                <w:sz w:val="22"/>
                <w:szCs w:val="22"/>
                <w:lang w:val="ro-MD"/>
              </w:rPr>
              <w:t xml:space="preserve"> </w:t>
            </w:r>
            <w:r w:rsidRPr="000B038D">
              <w:rPr>
                <w:sz w:val="22"/>
                <w:szCs w:val="22"/>
                <w:lang w:val="ro-MD"/>
              </w:rPr>
              <w:t xml:space="preserve">Plata pentru neutralitate include următoarele categorii de </w:t>
            </w:r>
            <w:r w:rsidRPr="000B038D">
              <w:rPr>
                <w:i/>
                <w:sz w:val="22"/>
                <w:szCs w:val="22"/>
                <w:lang w:val="ro-MD"/>
              </w:rPr>
              <w:t>costuri:</w:t>
            </w:r>
          </w:p>
          <w:p w14:paraId="6E5472E1" w14:textId="77777777" w:rsidR="009F2860" w:rsidRPr="000B038D" w:rsidRDefault="009F2860" w:rsidP="00B3091C">
            <w:pPr>
              <w:pStyle w:val="ListParagraph"/>
              <w:numPr>
                <w:ilvl w:val="0"/>
                <w:numId w:val="33"/>
              </w:numPr>
              <w:tabs>
                <w:tab w:val="left" w:pos="0"/>
                <w:tab w:val="left" w:pos="241"/>
                <w:tab w:val="left" w:pos="284"/>
                <w:tab w:val="left" w:pos="567"/>
              </w:tabs>
              <w:spacing w:after="0" w:line="240" w:lineRule="auto"/>
              <w:ind w:left="0" w:firstLine="0"/>
              <w:contextualSpacing w:val="0"/>
              <w:jc w:val="both"/>
              <w:rPr>
                <w:rFonts w:ascii="Times New Roman" w:hAnsi="Times New Roman"/>
                <w:lang w:val="ro-MD"/>
              </w:rPr>
            </w:pPr>
            <w:r w:rsidRPr="000B038D">
              <w:rPr>
                <w:rFonts w:ascii="Times New Roman" w:hAnsi="Times New Roman"/>
                <w:lang w:val="ro-MD"/>
              </w:rPr>
              <w:t>costuri rezultate din efectuarea acțiunilor de echilibrare de către OST (achiziționarea gazelor naturale pentru echilibrare în baza contractelor privind serviciile de echilibrare).</w:t>
            </w:r>
          </w:p>
          <w:p w14:paraId="38C823E4" w14:textId="77777777" w:rsidR="009F2860" w:rsidRPr="000B038D" w:rsidRDefault="009F2860" w:rsidP="00B3091C">
            <w:pPr>
              <w:numPr>
                <w:ilvl w:val="0"/>
                <w:numId w:val="33"/>
              </w:numPr>
              <w:tabs>
                <w:tab w:val="left" w:pos="0"/>
                <w:tab w:val="left" w:pos="241"/>
                <w:tab w:val="left" w:pos="284"/>
                <w:tab w:val="left" w:pos="567"/>
              </w:tabs>
              <w:ind w:left="0" w:firstLine="0"/>
              <w:jc w:val="both"/>
              <w:rPr>
                <w:sz w:val="22"/>
                <w:szCs w:val="22"/>
                <w:lang w:val="ro-MD"/>
              </w:rPr>
            </w:pPr>
            <w:r w:rsidRPr="000B038D">
              <w:rPr>
                <w:sz w:val="22"/>
                <w:szCs w:val="22"/>
                <w:lang w:val="ro-MD"/>
              </w:rPr>
              <w:t>costuri rezultate din utilizarea punctelor de intrare și de ieșire din rețeaua de transport a gazelor naturale de către OST pentru a efectua acțiuni de echilibrare.</w:t>
            </w:r>
          </w:p>
          <w:p w14:paraId="7115A8EF" w14:textId="77777777" w:rsidR="009F2860" w:rsidRPr="000B038D" w:rsidRDefault="009F2860" w:rsidP="00B3091C">
            <w:pPr>
              <w:numPr>
                <w:ilvl w:val="0"/>
                <w:numId w:val="33"/>
              </w:numPr>
              <w:tabs>
                <w:tab w:val="left" w:pos="0"/>
                <w:tab w:val="left" w:pos="241"/>
                <w:tab w:val="left" w:pos="284"/>
                <w:tab w:val="left" w:pos="567"/>
              </w:tabs>
              <w:ind w:left="0" w:firstLine="0"/>
              <w:jc w:val="both"/>
              <w:rPr>
                <w:sz w:val="22"/>
                <w:szCs w:val="22"/>
                <w:lang w:val="ro-MD"/>
              </w:rPr>
            </w:pPr>
            <w:r w:rsidRPr="000B038D">
              <w:rPr>
                <w:sz w:val="22"/>
                <w:szCs w:val="22"/>
                <w:lang w:val="ro-MD"/>
              </w:rPr>
              <w:t>plăți achitate PRE de către OST, din cauza dezechilibrelor pozitive ale acestora.</w:t>
            </w:r>
          </w:p>
          <w:p w14:paraId="66FEC11F" w14:textId="77777777" w:rsidR="009F2860" w:rsidRPr="000B038D" w:rsidRDefault="009F2860" w:rsidP="00B3091C">
            <w:pPr>
              <w:numPr>
                <w:ilvl w:val="0"/>
                <w:numId w:val="33"/>
              </w:numPr>
              <w:tabs>
                <w:tab w:val="left" w:pos="0"/>
                <w:tab w:val="left" w:pos="241"/>
                <w:tab w:val="left" w:pos="284"/>
                <w:tab w:val="left" w:pos="567"/>
              </w:tabs>
              <w:ind w:left="0" w:firstLine="0"/>
              <w:jc w:val="both"/>
              <w:rPr>
                <w:sz w:val="22"/>
                <w:szCs w:val="22"/>
                <w:lang w:val="ro-MD"/>
              </w:rPr>
            </w:pPr>
            <w:r w:rsidRPr="000B038D">
              <w:rPr>
                <w:sz w:val="22"/>
                <w:szCs w:val="22"/>
                <w:lang w:val="ro-MD"/>
              </w:rPr>
              <w:t>Alte costuri legate de activitatea de echilibrare, dacă este cazul:</w:t>
            </w:r>
          </w:p>
          <w:p w14:paraId="5643BC78" w14:textId="77777777" w:rsidR="009F2860" w:rsidRPr="000B038D" w:rsidRDefault="009F2860" w:rsidP="00B3091C">
            <w:pPr>
              <w:pStyle w:val="ListParagraph"/>
              <w:numPr>
                <w:ilvl w:val="2"/>
                <w:numId w:val="34"/>
              </w:numPr>
              <w:tabs>
                <w:tab w:val="left" w:pos="0"/>
                <w:tab w:val="left" w:pos="241"/>
                <w:tab w:val="left" w:pos="284"/>
                <w:tab w:val="left" w:pos="993"/>
              </w:tabs>
              <w:spacing w:after="0" w:line="240" w:lineRule="auto"/>
              <w:ind w:left="0" w:firstLine="0"/>
              <w:contextualSpacing w:val="0"/>
              <w:jc w:val="both"/>
              <w:rPr>
                <w:rFonts w:ascii="Times New Roman" w:hAnsi="Times New Roman"/>
                <w:lang w:val="ro-MD"/>
              </w:rPr>
            </w:pPr>
            <w:r w:rsidRPr="000B038D">
              <w:rPr>
                <w:rFonts w:ascii="Times New Roman" w:hAnsi="Times New Roman"/>
                <w:lang w:val="ro-MD"/>
              </w:rPr>
              <w:t>cheltuielile pentru dezvoltarea și menținerea unei platforme de echilibrare;</w:t>
            </w:r>
          </w:p>
          <w:p w14:paraId="7FA22B3F" w14:textId="77777777" w:rsidR="009F2860" w:rsidRPr="000B038D" w:rsidRDefault="009F2860" w:rsidP="00B3091C">
            <w:pPr>
              <w:pStyle w:val="ListParagraph"/>
              <w:numPr>
                <w:ilvl w:val="2"/>
                <w:numId w:val="34"/>
              </w:numPr>
              <w:tabs>
                <w:tab w:val="left" w:pos="0"/>
                <w:tab w:val="left" w:pos="241"/>
                <w:tab w:val="left" w:pos="284"/>
                <w:tab w:val="left" w:pos="993"/>
              </w:tabs>
              <w:spacing w:after="0" w:line="240" w:lineRule="auto"/>
              <w:ind w:left="0" w:firstLine="0"/>
              <w:contextualSpacing w:val="0"/>
              <w:jc w:val="both"/>
              <w:rPr>
                <w:rFonts w:ascii="Times New Roman" w:hAnsi="Times New Roman"/>
                <w:lang w:val="ro-MD"/>
              </w:rPr>
            </w:pPr>
            <w:r w:rsidRPr="000B038D">
              <w:rPr>
                <w:rFonts w:ascii="Times New Roman" w:hAnsi="Times New Roman"/>
                <w:lang w:val="ro-MD"/>
              </w:rPr>
              <w:t>cheltuielile accesării platformelor de tranzacționare unde OST efectuează acțiuni de echilibrare;</w:t>
            </w:r>
          </w:p>
          <w:p w14:paraId="0B62000F" w14:textId="77777777" w:rsidR="009F2860" w:rsidRPr="000B038D" w:rsidRDefault="009F2860" w:rsidP="00B3091C">
            <w:pPr>
              <w:pStyle w:val="ListParagraph"/>
              <w:numPr>
                <w:ilvl w:val="2"/>
                <w:numId w:val="34"/>
              </w:numPr>
              <w:tabs>
                <w:tab w:val="left" w:pos="0"/>
                <w:tab w:val="left" w:pos="241"/>
                <w:tab w:val="left" w:pos="284"/>
                <w:tab w:val="left" w:pos="993"/>
              </w:tabs>
              <w:spacing w:after="0" w:line="240" w:lineRule="auto"/>
              <w:ind w:left="0" w:firstLine="0"/>
              <w:contextualSpacing w:val="0"/>
              <w:jc w:val="both"/>
              <w:rPr>
                <w:rFonts w:ascii="Times New Roman" w:hAnsi="Times New Roman"/>
                <w:lang w:val="ro-MD"/>
              </w:rPr>
            </w:pPr>
            <w:r w:rsidRPr="000B038D">
              <w:rPr>
                <w:rFonts w:ascii="Times New Roman" w:hAnsi="Times New Roman"/>
                <w:lang w:val="ro-MD"/>
              </w:rPr>
              <w:t xml:space="preserve">cheltuielile de tranzacție legate de cumpărarea sau vânzarea gazelor naturale </w:t>
            </w:r>
            <w:r w:rsidRPr="000B038D">
              <w:rPr>
                <w:rFonts w:ascii="Times New Roman" w:hAnsi="Times New Roman"/>
                <w:lang w:val="ro-MD"/>
              </w:rPr>
              <w:lastRenderedPageBreak/>
              <w:t>pentru echilibrare de către OST pentru platformele de tranzacționare;</w:t>
            </w:r>
          </w:p>
          <w:p w14:paraId="49A8EFC7" w14:textId="7B618155" w:rsidR="009F2860" w:rsidRPr="000B038D" w:rsidRDefault="009F2860" w:rsidP="00B3091C">
            <w:pPr>
              <w:pStyle w:val="ListParagraph"/>
              <w:numPr>
                <w:ilvl w:val="2"/>
                <w:numId w:val="34"/>
              </w:numPr>
              <w:tabs>
                <w:tab w:val="left" w:pos="0"/>
                <w:tab w:val="left" w:pos="241"/>
                <w:tab w:val="left" w:pos="284"/>
                <w:tab w:val="left" w:pos="993"/>
              </w:tabs>
              <w:spacing w:after="0" w:line="240" w:lineRule="auto"/>
              <w:ind w:left="0" w:firstLine="0"/>
              <w:contextualSpacing w:val="0"/>
              <w:jc w:val="both"/>
              <w:rPr>
                <w:rFonts w:ascii="Times New Roman" w:hAnsi="Times New Roman"/>
                <w:lang w:val="ro-MD"/>
              </w:rPr>
            </w:pPr>
            <w:r w:rsidRPr="000B038D">
              <w:rPr>
                <w:rFonts w:ascii="Times New Roman" w:hAnsi="Times New Roman"/>
                <w:lang w:val="ro-MD"/>
              </w:rPr>
              <w:t>cheltuielile de finanțare aferente marjelor de tranzacționare pentru realizarea acțiunilor de echilibrare.</w:t>
            </w:r>
          </w:p>
          <w:p w14:paraId="66AB9E6D" w14:textId="1BC10984" w:rsidR="009F2860" w:rsidRPr="000B038D" w:rsidRDefault="009F2860" w:rsidP="00B3091C">
            <w:pPr>
              <w:pStyle w:val="ListParagraph"/>
              <w:tabs>
                <w:tab w:val="left" w:pos="0"/>
                <w:tab w:val="left" w:pos="241"/>
                <w:tab w:val="left" w:pos="284"/>
                <w:tab w:val="left" w:pos="993"/>
              </w:tabs>
              <w:spacing w:after="0" w:line="240" w:lineRule="auto"/>
              <w:ind w:left="1440"/>
              <w:contextualSpacing w:val="0"/>
              <w:jc w:val="both"/>
              <w:rPr>
                <w:rFonts w:ascii="Times New Roman" w:hAnsi="Times New Roman"/>
                <w:lang w:val="ro-MD"/>
              </w:rPr>
            </w:pPr>
          </w:p>
          <w:p w14:paraId="46909B88" w14:textId="77777777" w:rsidR="009F2860" w:rsidRPr="000B038D" w:rsidRDefault="009F2860" w:rsidP="00B3091C">
            <w:pPr>
              <w:tabs>
                <w:tab w:val="left" w:pos="0"/>
                <w:tab w:val="left" w:pos="241"/>
                <w:tab w:val="left" w:pos="284"/>
              </w:tabs>
              <w:jc w:val="both"/>
              <w:rPr>
                <w:sz w:val="22"/>
                <w:szCs w:val="22"/>
                <w:lang w:val="ro-MD"/>
              </w:rPr>
            </w:pPr>
            <w:r w:rsidRPr="000B038D">
              <w:rPr>
                <w:sz w:val="22"/>
                <w:szCs w:val="22"/>
                <w:lang w:val="ro-MD"/>
              </w:rPr>
              <w:t xml:space="preserve">8 Plata pentru neutralitate include următoarele categorii de </w:t>
            </w:r>
            <w:r w:rsidRPr="000B038D">
              <w:rPr>
                <w:i/>
                <w:sz w:val="22"/>
                <w:szCs w:val="22"/>
                <w:lang w:val="ro-MD"/>
              </w:rPr>
              <w:t>venituri:</w:t>
            </w:r>
          </w:p>
          <w:p w14:paraId="34AB7AD0" w14:textId="77777777" w:rsidR="009F2860" w:rsidRPr="000B038D" w:rsidRDefault="009F2860" w:rsidP="00B3091C">
            <w:pPr>
              <w:pStyle w:val="ListParagraph"/>
              <w:numPr>
                <w:ilvl w:val="1"/>
                <w:numId w:val="35"/>
              </w:numPr>
              <w:tabs>
                <w:tab w:val="left" w:pos="0"/>
                <w:tab w:val="left" w:pos="241"/>
                <w:tab w:val="left" w:pos="284"/>
              </w:tabs>
              <w:spacing w:after="0" w:line="240" w:lineRule="auto"/>
              <w:ind w:left="0" w:firstLine="0"/>
              <w:contextualSpacing w:val="0"/>
              <w:jc w:val="both"/>
              <w:rPr>
                <w:rFonts w:ascii="Times New Roman" w:hAnsi="Times New Roman"/>
                <w:lang w:val="ro-MD"/>
              </w:rPr>
            </w:pPr>
            <w:r w:rsidRPr="000B038D">
              <w:rPr>
                <w:rFonts w:ascii="Times New Roman" w:hAnsi="Times New Roman"/>
                <w:lang w:val="ro-MD"/>
              </w:rPr>
              <w:t>venituri generate din efectuarea acțiunilor de echilibrare de către OST (vânzarea gazelor de echilibrare în baza contractului pentru servicii de echilibrare).</w:t>
            </w:r>
          </w:p>
          <w:p w14:paraId="1102FD0F" w14:textId="53FE5F54" w:rsidR="009F2860" w:rsidRPr="008573E3" w:rsidRDefault="009F2860" w:rsidP="00B3091C">
            <w:pPr>
              <w:pStyle w:val="ListParagraph"/>
              <w:numPr>
                <w:ilvl w:val="1"/>
                <w:numId w:val="35"/>
              </w:numPr>
              <w:tabs>
                <w:tab w:val="left" w:pos="0"/>
                <w:tab w:val="left" w:pos="241"/>
                <w:tab w:val="left" w:pos="284"/>
              </w:tabs>
              <w:spacing w:after="0" w:line="240" w:lineRule="auto"/>
              <w:ind w:left="0" w:firstLine="0"/>
              <w:contextualSpacing w:val="0"/>
              <w:jc w:val="both"/>
              <w:rPr>
                <w:rFonts w:ascii="Times New Roman" w:hAnsi="Times New Roman"/>
                <w:lang w:val="ro-MD"/>
              </w:rPr>
            </w:pPr>
            <w:r w:rsidRPr="000B038D">
              <w:rPr>
                <w:rFonts w:ascii="Times New Roman" w:hAnsi="Times New Roman"/>
                <w:lang w:val="ro-MD"/>
              </w:rPr>
              <w:t>venituri generate din utilizarea punctelor de intrare și de ieșire din sistemul de transport de către OST pentru a efectua acțiuni de echilibrare;</w:t>
            </w:r>
          </w:p>
        </w:tc>
        <w:tc>
          <w:tcPr>
            <w:tcW w:w="1719" w:type="pct"/>
            <w:shd w:val="clear" w:color="auto" w:fill="auto"/>
          </w:tcPr>
          <w:p w14:paraId="3AB2E272" w14:textId="5327352F" w:rsidR="009F2860" w:rsidRPr="000B038D" w:rsidRDefault="009F2860" w:rsidP="009F2860">
            <w:pPr>
              <w:jc w:val="both"/>
              <w:rPr>
                <w:sz w:val="22"/>
                <w:szCs w:val="22"/>
                <w:lang w:val="ro-MD"/>
              </w:rPr>
            </w:pPr>
            <w:r w:rsidRPr="000B038D">
              <w:rPr>
                <w:color w:val="000000" w:themeColor="text1"/>
                <w:sz w:val="22"/>
                <w:szCs w:val="22"/>
                <w:lang w:val="ro-RO"/>
              </w:rPr>
              <w:lastRenderedPageBreak/>
              <w:t xml:space="preserve">La pct. 7 și pct. 8 de exclus </w:t>
            </w:r>
            <w:proofErr w:type="spellStart"/>
            <w:r w:rsidRPr="000B038D">
              <w:rPr>
                <w:color w:val="000000" w:themeColor="text1"/>
                <w:sz w:val="22"/>
                <w:szCs w:val="22"/>
                <w:lang w:val="ro-RO"/>
              </w:rPr>
              <w:t>subpct</w:t>
            </w:r>
            <w:proofErr w:type="spellEnd"/>
            <w:r w:rsidRPr="000B038D">
              <w:rPr>
                <w:color w:val="000000" w:themeColor="text1"/>
                <w:sz w:val="22"/>
                <w:szCs w:val="22"/>
                <w:lang w:val="ro-RO"/>
              </w:rPr>
              <w:t>.</w:t>
            </w:r>
            <w:r>
              <w:rPr>
                <w:color w:val="000000" w:themeColor="text1"/>
                <w:sz w:val="22"/>
                <w:szCs w:val="22"/>
                <w:lang w:val="ro-RO"/>
              </w:rPr>
              <w:t xml:space="preserve"> </w:t>
            </w:r>
            <w:r w:rsidRPr="000B038D">
              <w:rPr>
                <w:color w:val="000000" w:themeColor="text1"/>
                <w:sz w:val="22"/>
                <w:szCs w:val="22"/>
                <w:lang w:val="ro-RO"/>
              </w:rPr>
              <w:t xml:space="preserve">2), deoarece aceste costuri și venituri sunt incluse în costurile și veniturile prevăzute în </w:t>
            </w:r>
            <w:proofErr w:type="spellStart"/>
            <w:r w:rsidRPr="000B038D">
              <w:rPr>
                <w:color w:val="000000" w:themeColor="text1"/>
                <w:sz w:val="22"/>
                <w:szCs w:val="22"/>
                <w:lang w:val="ro-RO"/>
              </w:rPr>
              <w:t>subpct</w:t>
            </w:r>
            <w:proofErr w:type="spellEnd"/>
            <w:r w:rsidRPr="000B038D">
              <w:rPr>
                <w:color w:val="000000" w:themeColor="text1"/>
                <w:sz w:val="22"/>
                <w:szCs w:val="22"/>
                <w:lang w:val="ro-RO"/>
              </w:rPr>
              <w:t>. 1) „achiziționarea/vânzarea gazelor naturale pentru echilibrare în baza contractelor pentru serviciile de echilibrare”</w:t>
            </w:r>
          </w:p>
        </w:tc>
        <w:tc>
          <w:tcPr>
            <w:cnfStyle w:val="000100000000" w:firstRow="0" w:lastRow="0" w:firstColumn="0" w:lastColumn="1" w:oddVBand="0" w:evenVBand="0" w:oddHBand="0" w:evenHBand="0" w:firstRowFirstColumn="0" w:firstRowLastColumn="0" w:lastRowFirstColumn="0" w:lastRowLastColumn="0"/>
            <w:tcW w:w="1042" w:type="pct"/>
            <w:shd w:val="clear" w:color="auto" w:fill="auto"/>
          </w:tcPr>
          <w:p w14:paraId="7BA5F984" w14:textId="7FFBBD1D" w:rsidR="009F2860" w:rsidRPr="00823440" w:rsidRDefault="0079718A" w:rsidP="009F2860">
            <w:pPr>
              <w:jc w:val="both"/>
              <w:rPr>
                <w:sz w:val="22"/>
                <w:szCs w:val="22"/>
                <w:lang w:val="en-US"/>
              </w:rPr>
            </w:pPr>
            <w:r>
              <w:rPr>
                <w:sz w:val="22"/>
                <w:szCs w:val="22"/>
                <w:lang w:val="en-US"/>
              </w:rPr>
              <w:t xml:space="preserve">Se </w:t>
            </w:r>
            <w:proofErr w:type="spellStart"/>
            <w:r>
              <w:rPr>
                <w:sz w:val="22"/>
                <w:szCs w:val="22"/>
                <w:lang w:val="en-US"/>
              </w:rPr>
              <w:t>acceptă</w:t>
            </w:r>
            <w:proofErr w:type="spellEnd"/>
            <w:r>
              <w:rPr>
                <w:sz w:val="22"/>
                <w:szCs w:val="22"/>
                <w:lang w:val="en-US"/>
              </w:rPr>
              <w:t>.</w:t>
            </w:r>
            <w:r w:rsidR="009F2860" w:rsidRPr="00823440">
              <w:rPr>
                <w:b w:val="0"/>
                <w:sz w:val="22"/>
                <w:szCs w:val="22"/>
                <w:lang w:val="en-US"/>
              </w:rPr>
              <w:t xml:space="preserve"> </w:t>
            </w:r>
          </w:p>
        </w:tc>
      </w:tr>
      <w:tr w:rsidR="008573E3" w:rsidRPr="00B3091C" w14:paraId="1F3D855A" w14:textId="77777777" w:rsidTr="006C7A87">
        <w:trPr>
          <w:trHeight w:val="841"/>
        </w:trPr>
        <w:tc>
          <w:tcPr>
            <w:tcW w:w="327" w:type="pct"/>
            <w:vAlign w:val="center"/>
          </w:tcPr>
          <w:p w14:paraId="00E5C6FF" w14:textId="56954365" w:rsidR="008573E3" w:rsidRPr="000B038D" w:rsidRDefault="008573E3" w:rsidP="009F2860">
            <w:pPr>
              <w:jc w:val="center"/>
              <w:rPr>
                <w:sz w:val="22"/>
                <w:szCs w:val="22"/>
                <w:lang w:val="ro-RO"/>
              </w:rPr>
            </w:pPr>
            <w:r w:rsidRPr="000B038D">
              <w:rPr>
                <w:sz w:val="22"/>
                <w:szCs w:val="22"/>
                <w:lang w:val="ro-RO"/>
              </w:rPr>
              <w:lastRenderedPageBreak/>
              <w:t>Pct. 9</w:t>
            </w:r>
          </w:p>
        </w:tc>
        <w:tc>
          <w:tcPr>
            <w:tcW w:w="602" w:type="pct"/>
            <w:vAlign w:val="center"/>
          </w:tcPr>
          <w:p w14:paraId="00436F36" w14:textId="77777777" w:rsidR="008573E3" w:rsidRPr="000B038D" w:rsidRDefault="008573E3" w:rsidP="009F2860">
            <w:pPr>
              <w:jc w:val="center"/>
              <w:rPr>
                <w:b/>
                <w:bCs/>
                <w:sz w:val="22"/>
                <w:szCs w:val="22"/>
                <w:lang w:val="ro-RO"/>
              </w:rPr>
            </w:pPr>
            <w:r w:rsidRPr="000B038D">
              <w:rPr>
                <w:sz w:val="22"/>
                <w:szCs w:val="22"/>
                <w:lang w:val="it-IT"/>
              </w:rPr>
              <w:t xml:space="preserve">SA </w:t>
            </w:r>
            <w:r w:rsidRPr="000B038D">
              <w:rPr>
                <w:sz w:val="22"/>
                <w:szCs w:val="22"/>
                <w:lang w:val="ro-RO"/>
              </w:rPr>
              <w:t>„</w:t>
            </w:r>
            <w:proofErr w:type="spellStart"/>
            <w:r w:rsidRPr="000B038D">
              <w:rPr>
                <w:sz w:val="22"/>
                <w:szCs w:val="22"/>
                <w:lang w:val="it-IT"/>
              </w:rPr>
              <w:t>Moldovagaz</w:t>
            </w:r>
            <w:proofErr w:type="spellEnd"/>
            <w:r w:rsidRPr="000B038D">
              <w:rPr>
                <w:sz w:val="22"/>
                <w:szCs w:val="22"/>
                <w:lang w:val="ro-RO"/>
              </w:rPr>
              <w:t>”</w:t>
            </w:r>
          </w:p>
          <w:p w14:paraId="360E1687" w14:textId="77777777" w:rsidR="008573E3" w:rsidRPr="000B038D" w:rsidRDefault="008573E3" w:rsidP="009F2860">
            <w:pPr>
              <w:jc w:val="center"/>
              <w:rPr>
                <w:b/>
                <w:bCs/>
                <w:sz w:val="22"/>
                <w:szCs w:val="22"/>
                <w:lang w:val="it-IT"/>
              </w:rPr>
            </w:pPr>
            <w:r w:rsidRPr="000B038D">
              <w:rPr>
                <w:sz w:val="22"/>
                <w:szCs w:val="22"/>
                <w:lang w:val="ro-RO"/>
              </w:rPr>
              <w:t>nr. 02/2-2475 din 03.09.2024</w:t>
            </w:r>
          </w:p>
          <w:p w14:paraId="0A0FCB14" w14:textId="77777777" w:rsidR="008573E3" w:rsidRPr="000B038D" w:rsidRDefault="008573E3" w:rsidP="009F2860">
            <w:pPr>
              <w:jc w:val="center"/>
              <w:rPr>
                <w:sz w:val="22"/>
                <w:szCs w:val="22"/>
                <w:lang w:val="it-IT"/>
              </w:rPr>
            </w:pPr>
          </w:p>
        </w:tc>
        <w:tc>
          <w:tcPr>
            <w:tcW w:w="1309" w:type="pct"/>
          </w:tcPr>
          <w:p w14:paraId="497F9D0B" w14:textId="77777777" w:rsidR="008573E3" w:rsidRPr="000B038D" w:rsidRDefault="008573E3" w:rsidP="009F2860">
            <w:pPr>
              <w:tabs>
                <w:tab w:val="left" w:pos="284"/>
                <w:tab w:val="left" w:pos="426"/>
              </w:tabs>
              <w:jc w:val="both"/>
              <w:rPr>
                <w:sz w:val="22"/>
                <w:szCs w:val="22"/>
                <w:lang w:val="ro-MD"/>
              </w:rPr>
            </w:pPr>
            <w:r w:rsidRPr="000B038D">
              <w:rPr>
                <w:sz w:val="22"/>
                <w:szCs w:val="22"/>
                <w:lang w:val="ro-MD"/>
              </w:rPr>
              <w:t>OST menține un cont separat (cont de neutralitate) în care:</w:t>
            </w:r>
          </w:p>
          <w:p w14:paraId="3FB88218" w14:textId="77777777" w:rsidR="008573E3" w:rsidRPr="000B038D" w:rsidRDefault="008573E3" w:rsidP="009F2860">
            <w:pPr>
              <w:pStyle w:val="ListParagraph"/>
              <w:numPr>
                <w:ilvl w:val="1"/>
                <w:numId w:val="36"/>
              </w:numPr>
              <w:tabs>
                <w:tab w:val="left" w:pos="284"/>
                <w:tab w:val="left" w:pos="426"/>
                <w:tab w:val="left" w:pos="709"/>
                <w:tab w:val="left" w:pos="993"/>
              </w:tabs>
              <w:spacing w:after="0" w:line="240" w:lineRule="auto"/>
              <w:ind w:left="0" w:hanging="42"/>
              <w:contextualSpacing w:val="0"/>
              <w:jc w:val="both"/>
              <w:rPr>
                <w:rFonts w:ascii="Times New Roman" w:hAnsi="Times New Roman"/>
                <w:lang w:val="ro-MD"/>
              </w:rPr>
            </w:pPr>
            <w:r w:rsidRPr="000B038D">
              <w:rPr>
                <w:rFonts w:ascii="Times New Roman" w:hAnsi="Times New Roman"/>
                <w:lang w:val="ro-MD"/>
              </w:rPr>
              <w:t>percepe toate cheltuielile legate de echilibrare, în conformitate cu categoriile de costuri definite la Articolul 3,</w:t>
            </w:r>
          </w:p>
          <w:p w14:paraId="1AEE78B7" w14:textId="69BF4BAC" w:rsidR="008573E3" w:rsidRPr="000B038D" w:rsidRDefault="008573E3" w:rsidP="009F2860">
            <w:pPr>
              <w:jc w:val="both"/>
              <w:rPr>
                <w:sz w:val="22"/>
                <w:szCs w:val="22"/>
                <w:lang w:val="ro-MD"/>
              </w:rPr>
            </w:pPr>
            <w:r w:rsidRPr="000B038D">
              <w:rPr>
                <w:sz w:val="22"/>
                <w:szCs w:val="22"/>
                <w:lang w:val="ro-MD"/>
              </w:rPr>
              <w:t>creditează toate veniturile sale aferente echilibrării, în conformitate cu categoriile de venituri definite la Secțiunea 1.</w:t>
            </w:r>
          </w:p>
        </w:tc>
        <w:tc>
          <w:tcPr>
            <w:tcW w:w="1719" w:type="pct"/>
            <w:shd w:val="clear" w:color="auto" w:fill="auto"/>
          </w:tcPr>
          <w:p w14:paraId="266815FC" w14:textId="77777777" w:rsidR="008573E3" w:rsidRPr="000B038D" w:rsidRDefault="008573E3" w:rsidP="009F2860">
            <w:pPr>
              <w:pStyle w:val="ListParagraph"/>
              <w:tabs>
                <w:tab w:val="left" w:pos="265"/>
              </w:tabs>
              <w:spacing w:after="0" w:line="240" w:lineRule="auto"/>
              <w:ind w:left="0"/>
              <w:jc w:val="both"/>
              <w:rPr>
                <w:rFonts w:asciiTheme="majorBidi" w:hAnsiTheme="majorBidi" w:cstheme="majorBidi"/>
                <w:color w:val="000000" w:themeColor="text1"/>
              </w:rPr>
            </w:pPr>
            <w:r w:rsidRPr="000B038D">
              <w:rPr>
                <w:rFonts w:asciiTheme="majorBidi" w:hAnsiTheme="majorBidi" w:cstheme="majorBidi"/>
                <w:color w:val="000000" w:themeColor="text1"/>
              </w:rPr>
              <w:t xml:space="preserve">Pct. 9 </w:t>
            </w:r>
            <w:proofErr w:type="spellStart"/>
            <w:r w:rsidRPr="000B038D">
              <w:rPr>
                <w:rFonts w:asciiTheme="majorBidi" w:hAnsiTheme="majorBidi" w:cstheme="majorBidi"/>
                <w:color w:val="000000" w:themeColor="text1"/>
              </w:rPr>
              <w:t>subpct</w:t>
            </w:r>
            <w:proofErr w:type="spellEnd"/>
            <w:r w:rsidRPr="000B038D">
              <w:rPr>
                <w:rFonts w:asciiTheme="majorBidi" w:hAnsiTheme="majorBidi" w:cstheme="majorBidi"/>
                <w:color w:val="000000" w:themeColor="text1"/>
              </w:rPr>
              <w:t>. 1) textul „</w:t>
            </w:r>
            <w:r w:rsidRPr="000B038D">
              <w:rPr>
                <w:rFonts w:asciiTheme="majorBidi" w:hAnsiTheme="majorBidi" w:cstheme="majorBidi"/>
                <w:i/>
                <w:color w:val="000000" w:themeColor="text1"/>
              </w:rPr>
              <w:t>la Articolul 3</w:t>
            </w:r>
            <w:r w:rsidRPr="000B038D">
              <w:rPr>
                <w:rFonts w:asciiTheme="majorBidi" w:hAnsiTheme="majorBidi" w:cstheme="majorBidi"/>
                <w:color w:val="000000" w:themeColor="text1"/>
              </w:rPr>
              <w:t>” se va substitui cu textul „</w:t>
            </w:r>
            <w:r w:rsidRPr="000B038D">
              <w:rPr>
                <w:rFonts w:asciiTheme="majorBidi" w:hAnsiTheme="majorBidi" w:cstheme="majorBidi"/>
                <w:i/>
                <w:color w:val="000000" w:themeColor="text1"/>
              </w:rPr>
              <w:t>la Secțiunea 1</w:t>
            </w:r>
            <w:r w:rsidRPr="000B038D">
              <w:rPr>
                <w:rFonts w:asciiTheme="majorBidi" w:hAnsiTheme="majorBidi" w:cstheme="majorBidi"/>
                <w:color w:val="000000" w:themeColor="text1"/>
              </w:rPr>
              <w:t>”.</w:t>
            </w:r>
          </w:p>
          <w:p w14:paraId="4999B72B" w14:textId="223BDAA8" w:rsidR="008573E3" w:rsidRPr="000B038D" w:rsidRDefault="008573E3" w:rsidP="009F2860">
            <w:pPr>
              <w:pStyle w:val="ListParagraph"/>
              <w:tabs>
                <w:tab w:val="left" w:pos="265"/>
              </w:tabs>
              <w:spacing w:after="0" w:line="240" w:lineRule="auto"/>
              <w:ind w:left="0"/>
              <w:jc w:val="both"/>
              <w:rPr>
                <w:rFonts w:asciiTheme="majorBidi" w:hAnsiTheme="majorBidi" w:cstheme="majorBidi"/>
                <w:color w:val="000000" w:themeColor="text1"/>
              </w:rPr>
            </w:pPr>
          </w:p>
        </w:tc>
        <w:tc>
          <w:tcPr>
            <w:cnfStyle w:val="000100000000" w:firstRow="0" w:lastRow="0" w:firstColumn="0" w:lastColumn="1" w:oddVBand="0" w:evenVBand="0" w:oddHBand="0" w:evenHBand="0" w:firstRowFirstColumn="0" w:firstRowLastColumn="0" w:lastRowFirstColumn="0" w:lastRowLastColumn="0"/>
            <w:tcW w:w="1042" w:type="pct"/>
            <w:vMerge w:val="restart"/>
            <w:shd w:val="clear" w:color="auto" w:fill="auto"/>
          </w:tcPr>
          <w:p w14:paraId="16D1D32B" w14:textId="77777777" w:rsidR="008573E3" w:rsidRPr="008573E3" w:rsidRDefault="008573E3" w:rsidP="00D4221F">
            <w:pPr>
              <w:jc w:val="both"/>
              <w:rPr>
                <w:sz w:val="22"/>
                <w:szCs w:val="20"/>
                <w:lang w:val="ro-MD"/>
              </w:rPr>
            </w:pPr>
            <w:r w:rsidRPr="008573E3">
              <w:rPr>
                <w:sz w:val="22"/>
                <w:szCs w:val="20"/>
                <w:lang w:val="ro-MD"/>
              </w:rPr>
              <w:t>Se acceptă</w:t>
            </w:r>
          </w:p>
          <w:p w14:paraId="2914D509" w14:textId="0A9ED35E" w:rsidR="008573E3" w:rsidRPr="00D7413C" w:rsidRDefault="008573E3" w:rsidP="001837DF">
            <w:pPr>
              <w:jc w:val="both"/>
              <w:rPr>
                <w:sz w:val="22"/>
                <w:szCs w:val="22"/>
                <w:lang w:val="ro-MD"/>
              </w:rPr>
            </w:pPr>
            <w:r w:rsidRPr="008573E3">
              <w:rPr>
                <w:b w:val="0"/>
                <w:sz w:val="22"/>
                <w:szCs w:val="20"/>
                <w:lang w:val="ro-MD"/>
              </w:rPr>
              <w:t>Textul „la Articolul 3” a fost substituit cu textul „la Secțiunea 1”.</w:t>
            </w:r>
          </w:p>
        </w:tc>
      </w:tr>
      <w:tr w:rsidR="008573E3" w:rsidRPr="00B3091C" w14:paraId="1395CF07" w14:textId="77777777" w:rsidTr="00B91CAA">
        <w:trPr>
          <w:trHeight w:val="841"/>
        </w:trPr>
        <w:tc>
          <w:tcPr>
            <w:tcW w:w="327" w:type="pct"/>
            <w:shd w:val="clear" w:color="auto" w:fill="auto"/>
            <w:vAlign w:val="center"/>
          </w:tcPr>
          <w:p w14:paraId="76852051" w14:textId="26A09C10" w:rsidR="008573E3" w:rsidRPr="000B038D" w:rsidRDefault="008573E3" w:rsidP="00D4221F">
            <w:pPr>
              <w:jc w:val="center"/>
              <w:rPr>
                <w:sz w:val="22"/>
                <w:szCs w:val="22"/>
                <w:lang w:val="ro-RO"/>
              </w:rPr>
            </w:pPr>
            <w:r w:rsidRPr="000B038D">
              <w:rPr>
                <w:sz w:val="22"/>
                <w:szCs w:val="22"/>
                <w:lang w:val="ro-RO"/>
              </w:rPr>
              <w:t>Pct. 9</w:t>
            </w:r>
          </w:p>
        </w:tc>
        <w:tc>
          <w:tcPr>
            <w:tcW w:w="602" w:type="pct"/>
            <w:vAlign w:val="center"/>
          </w:tcPr>
          <w:p w14:paraId="7A8FCB95" w14:textId="33B337F4" w:rsidR="008573E3" w:rsidRDefault="008573E3" w:rsidP="00D4221F">
            <w:pPr>
              <w:jc w:val="center"/>
              <w:rPr>
                <w:sz w:val="22"/>
                <w:szCs w:val="22"/>
                <w:lang w:val="en-GB"/>
              </w:rPr>
            </w:pPr>
            <w:r>
              <w:rPr>
                <w:sz w:val="22"/>
                <w:szCs w:val="22"/>
                <w:lang w:val="en-GB"/>
              </w:rPr>
              <w:t>„</w:t>
            </w:r>
            <w:proofErr w:type="spellStart"/>
            <w:r>
              <w:rPr>
                <w:sz w:val="22"/>
                <w:szCs w:val="22"/>
                <w:lang w:val="en-GB"/>
              </w:rPr>
              <w:t>Transautogaz</w:t>
            </w:r>
            <w:proofErr w:type="spellEnd"/>
            <w:r>
              <w:rPr>
                <w:sz w:val="22"/>
                <w:szCs w:val="22"/>
                <w:lang w:val="en-GB"/>
              </w:rPr>
              <w:t>” S.R.L.</w:t>
            </w:r>
          </w:p>
          <w:p w14:paraId="6C35BCE2" w14:textId="7981FA31" w:rsidR="008573E3" w:rsidRPr="000B038D" w:rsidRDefault="008573E3" w:rsidP="00D4221F">
            <w:pPr>
              <w:jc w:val="center"/>
              <w:rPr>
                <w:sz w:val="22"/>
                <w:szCs w:val="22"/>
                <w:lang w:val="it-IT"/>
              </w:rPr>
            </w:pPr>
            <w:proofErr w:type="spellStart"/>
            <w:r>
              <w:rPr>
                <w:sz w:val="22"/>
                <w:szCs w:val="22"/>
                <w:lang w:val="en-GB"/>
              </w:rPr>
              <w:t>nr</w:t>
            </w:r>
            <w:proofErr w:type="spellEnd"/>
            <w:r>
              <w:rPr>
                <w:sz w:val="22"/>
                <w:szCs w:val="22"/>
                <w:lang w:val="en-GB"/>
              </w:rPr>
              <w:t>. 330 din 23 august 2024</w:t>
            </w:r>
          </w:p>
        </w:tc>
        <w:tc>
          <w:tcPr>
            <w:tcW w:w="1309" w:type="pct"/>
          </w:tcPr>
          <w:p w14:paraId="0A6810FB" w14:textId="77777777" w:rsidR="008573E3" w:rsidRPr="005D68A2" w:rsidRDefault="008573E3" w:rsidP="00D4221F">
            <w:pPr>
              <w:tabs>
                <w:tab w:val="left" w:pos="284"/>
                <w:tab w:val="left" w:pos="426"/>
              </w:tabs>
              <w:jc w:val="both"/>
              <w:rPr>
                <w:sz w:val="22"/>
                <w:szCs w:val="22"/>
                <w:lang w:val="ro-MD"/>
              </w:rPr>
            </w:pPr>
            <w:r w:rsidRPr="005D68A2">
              <w:rPr>
                <w:sz w:val="22"/>
                <w:szCs w:val="22"/>
                <w:lang w:val="ro-MD"/>
              </w:rPr>
              <w:t>9.</w:t>
            </w:r>
            <w:r w:rsidRPr="005D68A2">
              <w:rPr>
                <w:sz w:val="22"/>
                <w:szCs w:val="22"/>
                <w:lang w:val="ro-MD"/>
              </w:rPr>
              <w:tab/>
              <w:t>OST menține un cont separat (cont de neutralitate) în care:</w:t>
            </w:r>
          </w:p>
          <w:p w14:paraId="649C14DF" w14:textId="5560254E" w:rsidR="008573E3" w:rsidRPr="000B038D" w:rsidRDefault="008573E3" w:rsidP="00D4221F">
            <w:pPr>
              <w:tabs>
                <w:tab w:val="left" w:pos="284"/>
                <w:tab w:val="left" w:pos="426"/>
              </w:tabs>
              <w:jc w:val="both"/>
              <w:rPr>
                <w:sz w:val="22"/>
                <w:szCs w:val="22"/>
                <w:lang w:val="ro-MD"/>
              </w:rPr>
            </w:pPr>
            <w:r w:rsidRPr="005D68A2">
              <w:rPr>
                <w:sz w:val="22"/>
                <w:szCs w:val="22"/>
                <w:lang w:val="ro-MD"/>
              </w:rPr>
              <w:t>1)</w:t>
            </w:r>
            <w:r w:rsidRPr="005D68A2">
              <w:rPr>
                <w:sz w:val="22"/>
                <w:szCs w:val="22"/>
                <w:lang w:val="ro-MD"/>
              </w:rPr>
              <w:tab/>
              <w:t xml:space="preserve">percepe toate cheltuielile legate de echilibrare, în conformitate cu categoriile de costuri </w:t>
            </w:r>
            <w:r>
              <w:rPr>
                <w:sz w:val="22"/>
                <w:szCs w:val="22"/>
                <w:lang w:val="ro-MD"/>
              </w:rPr>
              <w:t>definite la Articolul 3</w:t>
            </w:r>
          </w:p>
        </w:tc>
        <w:tc>
          <w:tcPr>
            <w:tcW w:w="1719" w:type="pct"/>
            <w:shd w:val="clear" w:color="auto" w:fill="auto"/>
          </w:tcPr>
          <w:p w14:paraId="52D9A912" w14:textId="557C1C9D" w:rsidR="008573E3" w:rsidRPr="000B038D" w:rsidRDefault="008573E3" w:rsidP="00D4221F">
            <w:pPr>
              <w:pStyle w:val="ListParagraph"/>
              <w:tabs>
                <w:tab w:val="left" w:pos="265"/>
              </w:tabs>
              <w:spacing w:after="0" w:line="240" w:lineRule="auto"/>
              <w:ind w:left="0"/>
              <w:jc w:val="both"/>
              <w:rPr>
                <w:rFonts w:asciiTheme="majorBidi" w:hAnsiTheme="majorBidi" w:cstheme="majorBidi"/>
                <w:color w:val="000000" w:themeColor="text1"/>
              </w:rPr>
            </w:pPr>
            <w:r>
              <w:rPr>
                <w:rFonts w:asciiTheme="majorBidi" w:hAnsiTheme="majorBidi" w:cstheme="majorBidi"/>
                <w:color w:val="000000" w:themeColor="text1"/>
              </w:rPr>
              <w:t>P</w:t>
            </w:r>
            <w:r w:rsidRPr="005B15B5">
              <w:rPr>
                <w:rFonts w:asciiTheme="majorBidi" w:hAnsiTheme="majorBidi" w:cstheme="majorBidi"/>
                <w:color w:val="000000" w:themeColor="text1"/>
              </w:rPr>
              <w:t xml:space="preserve">ct. 9: OST </w:t>
            </w:r>
            <w:proofErr w:type="spellStart"/>
            <w:r w:rsidRPr="005B15B5">
              <w:rPr>
                <w:rFonts w:asciiTheme="majorBidi" w:hAnsiTheme="majorBidi" w:cstheme="majorBidi"/>
                <w:color w:val="000000" w:themeColor="text1"/>
              </w:rPr>
              <w:t>mentine</w:t>
            </w:r>
            <w:proofErr w:type="spellEnd"/>
            <w:r w:rsidRPr="005B15B5">
              <w:rPr>
                <w:rFonts w:asciiTheme="majorBidi" w:hAnsiTheme="majorBidi" w:cstheme="majorBidi"/>
                <w:color w:val="000000" w:themeColor="text1"/>
              </w:rPr>
              <w:t xml:space="preserve"> un cont separat (cont de neutralitate) în care: 1) percepe toate cheltuielile legate de echilibrare, </w:t>
            </w:r>
            <w:r>
              <w:rPr>
                <w:rFonts w:asciiTheme="majorBidi" w:hAnsiTheme="majorBidi" w:cstheme="majorBidi"/>
                <w:color w:val="000000" w:themeColor="text1"/>
              </w:rPr>
              <w:t xml:space="preserve">în </w:t>
            </w:r>
            <w:r w:rsidRPr="005B15B5">
              <w:rPr>
                <w:rFonts w:asciiTheme="majorBidi" w:hAnsiTheme="majorBidi" w:cstheme="majorBidi"/>
                <w:color w:val="000000" w:themeColor="text1"/>
              </w:rPr>
              <w:t xml:space="preserve">conformitate cu categoriile de costuri definite la Articolul 3. </w:t>
            </w:r>
            <w:proofErr w:type="spellStart"/>
            <w:r w:rsidRPr="005B15B5">
              <w:rPr>
                <w:rFonts w:asciiTheme="majorBidi" w:hAnsiTheme="majorBidi" w:cstheme="majorBidi"/>
                <w:color w:val="000000" w:themeColor="text1"/>
              </w:rPr>
              <w:t>Mentionăm</w:t>
            </w:r>
            <w:proofErr w:type="spellEnd"/>
            <w:r w:rsidRPr="005B15B5">
              <w:rPr>
                <w:rFonts w:asciiTheme="majorBidi" w:hAnsiTheme="majorBidi" w:cstheme="majorBidi"/>
                <w:color w:val="000000" w:themeColor="text1"/>
              </w:rPr>
              <w:t xml:space="preserve"> </w:t>
            </w:r>
            <w:r>
              <w:rPr>
                <w:rFonts w:asciiTheme="majorBidi" w:hAnsiTheme="majorBidi" w:cstheme="majorBidi"/>
                <w:color w:val="000000" w:themeColor="text1"/>
              </w:rPr>
              <w:t xml:space="preserve">că </w:t>
            </w:r>
            <w:r w:rsidRPr="005B15B5">
              <w:rPr>
                <w:rFonts w:asciiTheme="majorBidi" w:hAnsiTheme="majorBidi" w:cstheme="majorBidi"/>
                <w:color w:val="000000" w:themeColor="text1"/>
              </w:rPr>
              <w:t xml:space="preserve">Articolul 3 nu a fost găsit in document; considerăm </w:t>
            </w:r>
            <w:proofErr w:type="spellStart"/>
            <w:r w:rsidRPr="005B15B5">
              <w:rPr>
                <w:rFonts w:asciiTheme="majorBidi" w:hAnsiTheme="majorBidi" w:cstheme="majorBidi"/>
                <w:color w:val="000000" w:themeColor="text1"/>
              </w:rPr>
              <w:t>cã</w:t>
            </w:r>
            <w:proofErr w:type="spellEnd"/>
            <w:r w:rsidRPr="005B15B5">
              <w:rPr>
                <w:rFonts w:asciiTheme="majorBidi" w:hAnsiTheme="majorBidi" w:cstheme="majorBidi"/>
                <w:color w:val="000000" w:themeColor="text1"/>
              </w:rPr>
              <w:t xml:space="preserve"> acesta a fost omis sau nu fost numerotat corect</w:t>
            </w:r>
          </w:p>
        </w:tc>
        <w:tc>
          <w:tcPr>
            <w:cnfStyle w:val="000100000000" w:firstRow="0" w:lastRow="0" w:firstColumn="0" w:lastColumn="1" w:oddVBand="0" w:evenVBand="0" w:oddHBand="0" w:evenHBand="0" w:firstRowFirstColumn="0" w:firstRowLastColumn="0" w:lastRowFirstColumn="0" w:lastRowLastColumn="0"/>
            <w:tcW w:w="1042" w:type="pct"/>
            <w:vMerge/>
            <w:shd w:val="clear" w:color="auto" w:fill="auto"/>
          </w:tcPr>
          <w:p w14:paraId="0337ED43" w14:textId="557223BC" w:rsidR="008573E3" w:rsidRPr="00B91CAA" w:rsidRDefault="008573E3" w:rsidP="00D4221F">
            <w:pPr>
              <w:jc w:val="both"/>
              <w:rPr>
                <w:b w:val="0"/>
                <w:sz w:val="22"/>
                <w:szCs w:val="22"/>
                <w:lang w:val="ro-MD"/>
              </w:rPr>
            </w:pPr>
          </w:p>
        </w:tc>
      </w:tr>
      <w:tr w:rsidR="00D4221F" w:rsidRPr="00B3091C" w14:paraId="134B4A7F" w14:textId="77777777" w:rsidTr="006C7A87">
        <w:trPr>
          <w:trHeight w:val="841"/>
        </w:trPr>
        <w:tc>
          <w:tcPr>
            <w:tcW w:w="327" w:type="pct"/>
            <w:vAlign w:val="center"/>
          </w:tcPr>
          <w:p w14:paraId="1F4F75D9" w14:textId="0C7DC4F1" w:rsidR="00D4221F" w:rsidRPr="000B038D" w:rsidRDefault="00D4221F" w:rsidP="00D4221F">
            <w:pPr>
              <w:jc w:val="center"/>
              <w:rPr>
                <w:sz w:val="22"/>
                <w:szCs w:val="22"/>
                <w:lang w:val="ro-RO"/>
              </w:rPr>
            </w:pPr>
            <w:r>
              <w:rPr>
                <w:sz w:val="22"/>
                <w:szCs w:val="22"/>
                <w:lang w:val="ro-RO"/>
              </w:rPr>
              <w:t>P</w:t>
            </w:r>
            <w:r w:rsidRPr="000B038D">
              <w:rPr>
                <w:sz w:val="22"/>
                <w:szCs w:val="22"/>
                <w:lang w:val="ro-RO"/>
              </w:rPr>
              <w:t>ct.</w:t>
            </w:r>
            <w:r>
              <w:rPr>
                <w:sz w:val="22"/>
                <w:szCs w:val="22"/>
                <w:lang w:val="ro-RO"/>
              </w:rPr>
              <w:t xml:space="preserve"> </w:t>
            </w:r>
            <w:r w:rsidRPr="000B038D">
              <w:rPr>
                <w:sz w:val="22"/>
                <w:szCs w:val="22"/>
                <w:lang w:val="ro-RO"/>
              </w:rPr>
              <w:t>10</w:t>
            </w:r>
          </w:p>
        </w:tc>
        <w:tc>
          <w:tcPr>
            <w:tcW w:w="602" w:type="pct"/>
            <w:vAlign w:val="center"/>
          </w:tcPr>
          <w:p w14:paraId="38C72B0F" w14:textId="77777777" w:rsidR="00D4221F" w:rsidRPr="000B038D" w:rsidRDefault="00D4221F" w:rsidP="00D4221F">
            <w:pPr>
              <w:jc w:val="center"/>
              <w:rPr>
                <w:b/>
                <w:bCs/>
                <w:sz w:val="22"/>
                <w:szCs w:val="22"/>
                <w:lang w:val="ro-RO"/>
              </w:rPr>
            </w:pPr>
            <w:r w:rsidRPr="000B038D">
              <w:rPr>
                <w:sz w:val="22"/>
                <w:szCs w:val="22"/>
                <w:lang w:val="it-IT"/>
              </w:rPr>
              <w:t xml:space="preserve">SA </w:t>
            </w:r>
            <w:r w:rsidRPr="000B038D">
              <w:rPr>
                <w:sz w:val="22"/>
                <w:szCs w:val="22"/>
                <w:lang w:val="ro-RO"/>
              </w:rPr>
              <w:t>„</w:t>
            </w:r>
            <w:proofErr w:type="spellStart"/>
            <w:r w:rsidRPr="000B038D">
              <w:rPr>
                <w:sz w:val="22"/>
                <w:szCs w:val="22"/>
                <w:lang w:val="it-IT"/>
              </w:rPr>
              <w:t>Moldovagaz</w:t>
            </w:r>
            <w:proofErr w:type="spellEnd"/>
            <w:r w:rsidRPr="000B038D">
              <w:rPr>
                <w:sz w:val="22"/>
                <w:szCs w:val="22"/>
                <w:lang w:val="ro-RO"/>
              </w:rPr>
              <w:t>”</w:t>
            </w:r>
          </w:p>
          <w:p w14:paraId="4BCBC33A" w14:textId="77777777" w:rsidR="00D4221F" w:rsidRPr="000B038D" w:rsidRDefault="00D4221F" w:rsidP="00D4221F">
            <w:pPr>
              <w:jc w:val="center"/>
              <w:rPr>
                <w:b/>
                <w:bCs/>
                <w:sz w:val="22"/>
                <w:szCs w:val="22"/>
                <w:lang w:val="it-IT"/>
              </w:rPr>
            </w:pPr>
            <w:r w:rsidRPr="000B038D">
              <w:rPr>
                <w:sz w:val="22"/>
                <w:szCs w:val="22"/>
                <w:lang w:val="ro-RO"/>
              </w:rPr>
              <w:t>nr. 02/2-2475 din 03.09.2024</w:t>
            </w:r>
          </w:p>
          <w:p w14:paraId="4668D974" w14:textId="77777777" w:rsidR="00D4221F" w:rsidRPr="000B038D" w:rsidRDefault="00D4221F" w:rsidP="00D4221F">
            <w:pPr>
              <w:jc w:val="center"/>
              <w:rPr>
                <w:sz w:val="22"/>
                <w:szCs w:val="22"/>
                <w:lang w:val="it-IT"/>
              </w:rPr>
            </w:pPr>
          </w:p>
        </w:tc>
        <w:tc>
          <w:tcPr>
            <w:tcW w:w="1309" w:type="pct"/>
          </w:tcPr>
          <w:p w14:paraId="642C9E05" w14:textId="77777777" w:rsidR="00D4221F" w:rsidRPr="000B038D" w:rsidRDefault="00D4221F" w:rsidP="00D4221F">
            <w:pPr>
              <w:numPr>
                <w:ilvl w:val="0"/>
                <w:numId w:val="26"/>
              </w:numPr>
              <w:tabs>
                <w:tab w:val="left" w:pos="284"/>
                <w:tab w:val="left" w:pos="426"/>
              </w:tabs>
              <w:ind w:left="0" w:firstLine="0"/>
              <w:jc w:val="both"/>
              <w:rPr>
                <w:sz w:val="22"/>
                <w:szCs w:val="22"/>
                <w:lang w:val="ro-MD"/>
              </w:rPr>
            </w:pPr>
            <w:r w:rsidRPr="000B038D">
              <w:rPr>
                <w:sz w:val="22"/>
                <w:szCs w:val="22"/>
                <w:lang w:val="ro-MD"/>
              </w:rPr>
              <w:t xml:space="preserve">OST va utiliza soldul contului de neutralitate la sfârșitul fiecărei luni pentru a calcula </w:t>
            </w:r>
            <w:r w:rsidRPr="000B038D">
              <w:rPr>
                <w:i/>
                <w:sz w:val="22"/>
                <w:szCs w:val="22"/>
                <w:lang w:val="ro-MD"/>
              </w:rPr>
              <w:t>tariful de neutralitate</w:t>
            </w:r>
            <w:r w:rsidRPr="000B038D">
              <w:rPr>
                <w:sz w:val="22"/>
                <w:szCs w:val="22"/>
                <w:lang w:val="ro-MD"/>
              </w:rPr>
              <w:t xml:space="preserve"> (TN), exprimat în MDL/kWh, după formula următoare:</w:t>
            </w:r>
          </w:p>
          <w:p w14:paraId="1EB71610" w14:textId="77777777" w:rsidR="00D4221F" w:rsidRPr="000B038D" w:rsidRDefault="00B3091C" w:rsidP="00D4221F">
            <w:pPr>
              <w:tabs>
                <w:tab w:val="left" w:pos="284"/>
              </w:tabs>
              <w:jc w:val="center"/>
              <w:rPr>
                <w:sz w:val="22"/>
                <w:szCs w:val="22"/>
                <w:lang w:val="ro-MD"/>
              </w:rPr>
            </w:pPr>
            <w:r>
              <w:rPr>
                <w:sz w:val="22"/>
                <w:szCs w:val="22"/>
              </w:rPr>
              <w:pict w14:anchorId="49087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28.5pt" equationxml="&lt;">
                  <v:imagedata r:id="rId8" o:title="" chromakey="white"/>
                </v:shape>
              </w:pict>
            </w:r>
          </w:p>
          <w:p w14:paraId="70D61B08" w14:textId="77777777" w:rsidR="00D4221F" w:rsidRPr="000B038D" w:rsidRDefault="00D4221F" w:rsidP="00D4221F">
            <w:pPr>
              <w:pStyle w:val="ListParagraph"/>
              <w:tabs>
                <w:tab w:val="left" w:pos="284"/>
              </w:tabs>
              <w:spacing w:after="0" w:line="240" w:lineRule="auto"/>
              <w:ind w:left="0" w:firstLine="426"/>
              <w:rPr>
                <w:rFonts w:ascii="Times New Roman" w:hAnsi="Times New Roman"/>
                <w:lang w:val="ro-MD"/>
              </w:rPr>
            </w:pPr>
            <w:r w:rsidRPr="000B038D">
              <w:rPr>
                <w:rFonts w:ascii="Times New Roman" w:hAnsi="Times New Roman"/>
                <w:lang w:val="ro-MD"/>
              </w:rPr>
              <w:t>Unde:</w:t>
            </w:r>
          </w:p>
          <w:p w14:paraId="60D7FD16" w14:textId="77777777" w:rsidR="00D4221F" w:rsidRPr="000B038D" w:rsidRDefault="00D4221F" w:rsidP="00D4221F">
            <w:pPr>
              <w:pStyle w:val="ListParagraph"/>
              <w:tabs>
                <w:tab w:val="left" w:pos="284"/>
              </w:tabs>
              <w:spacing w:after="0" w:line="240" w:lineRule="auto"/>
              <w:ind w:left="0" w:firstLine="426"/>
              <w:jc w:val="both"/>
              <w:rPr>
                <w:rFonts w:ascii="Times New Roman" w:hAnsi="Times New Roman"/>
                <w:lang w:val="ro-MD"/>
              </w:rPr>
            </w:pPr>
            <w:proofErr w:type="spellStart"/>
            <w:r w:rsidRPr="000B038D">
              <w:rPr>
                <w:rFonts w:ascii="Times New Roman" w:hAnsi="Times New Roman"/>
                <w:i/>
                <w:lang w:val="ro-MD"/>
              </w:rPr>
              <w:lastRenderedPageBreak/>
              <w:t>NBal</w:t>
            </w:r>
            <w:proofErr w:type="spellEnd"/>
            <w:r w:rsidRPr="000B038D">
              <w:rPr>
                <w:rFonts w:ascii="Times New Roman" w:hAnsi="Times New Roman"/>
                <w:lang w:val="ro-MD"/>
              </w:rPr>
              <w:t>: soldul contului de neutralitate la sfârșitul lunii, în lei, calculat ca diferență între suma veniturilor creditate în cont, minus suma cheltuielilor încasate în cont, în durata lunii.</w:t>
            </w:r>
          </w:p>
          <w:p w14:paraId="3F6B05E4" w14:textId="1875679F" w:rsidR="00D4221F" w:rsidRPr="001B3694" w:rsidRDefault="00D4221F" w:rsidP="00D4221F">
            <w:pPr>
              <w:pStyle w:val="ListParagraph"/>
              <w:tabs>
                <w:tab w:val="left" w:pos="241"/>
                <w:tab w:val="left" w:pos="284"/>
              </w:tabs>
              <w:spacing w:after="0" w:line="240" w:lineRule="auto"/>
              <w:ind w:left="0" w:firstLine="426"/>
              <w:jc w:val="both"/>
              <w:rPr>
                <w:rFonts w:ascii="Times New Roman" w:hAnsi="Times New Roman"/>
                <w:lang w:val="ro-MD"/>
              </w:rPr>
            </w:pPr>
            <w:r w:rsidRPr="000B038D">
              <w:rPr>
                <w:rFonts w:ascii="Times New Roman" w:hAnsi="Times New Roman"/>
                <w:i/>
                <w:lang w:val="ro-MD"/>
              </w:rPr>
              <w:t>Adj</w:t>
            </w:r>
            <w:r w:rsidRPr="000B038D">
              <w:rPr>
                <w:rFonts w:ascii="Times New Roman" w:hAnsi="Times New Roman"/>
                <w:lang w:val="ro-MD"/>
              </w:rPr>
              <w:t>: o modificare pozitivă sau negativă a soldului contului de neutralitate la finele lunilor precedente, în lei, după caz:</w:t>
            </w:r>
          </w:p>
        </w:tc>
        <w:tc>
          <w:tcPr>
            <w:tcW w:w="1719" w:type="pct"/>
            <w:shd w:val="clear" w:color="auto" w:fill="auto"/>
          </w:tcPr>
          <w:p w14:paraId="0B3ED11E" w14:textId="77777777" w:rsidR="00D4221F" w:rsidRPr="000B038D" w:rsidRDefault="00D4221F" w:rsidP="00D4221F">
            <w:pPr>
              <w:pStyle w:val="ListParagraph"/>
              <w:numPr>
                <w:ilvl w:val="0"/>
                <w:numId w:val="29"/>
              </w:numPr>
              <w:tabs>
                <w:tab w:val="left" w:pos="265"/>
                <w:tab w:val="left" w:pos="1134"/>
              </w:tabs>
              <w:spacing w:after="0" w:line="240" w:lineRule="auto"/>
              <w:ind w:left="0" w:hanging="18"/>
              <w:jc w:val="both"/>
              <w:rPr>
                <w:rFonts w:asciiTheme="majorBidi" w:hAnsiTheme="majorBidi" w:cstheme="majorBidi"/>
                <w:color w:val="000000" w:themeColor="text1"/>
              </w:rPr>
            </w:pPr>
            <w:r w:rsidRPr="000B038D">
              <w:rPr>
                <w:rFonts w:asciiTheme="majorBidi" w:hAnsiTheme="majorBidi" w:cstheme="majorBidi"/>
                <w:color w:val="000000" w:themeColor="text1"/>
              </w:rPr>
              <w:lastRenderedPageBreak/>
              <w:t>după cuvintele „</w:t>
            </w:r>
            <w:r w:rsidRPr="000B038D">
              <w:rPr>
                <w:rFonts w:asciiTheme="majorBidi" w:hAnsiTheme="majorBidi" w:cstheme="majorBidi"/>
                <w:i/>
                <w:color w:val="000000" w:themeColor="text1"/>
              </w:rPr>
              <w:t>fiecărei luni</w:t>
            </w:r>
            <w:r w:rsidRPr="000B038D">
              <w:rPr>
                <w:rFonts w:asciiTheme="majorBidi" w:hAnsiTheme="majorBidi" w:cstheme="majorBidi"/>
                <w:color w:val="000000" w:themeColor="text1"/>
              </w:rPr>
              <w:t>” se va completa cu cuvintele „</w:t>
            </w:r>
            <w:r w:rsidRPr="000B038D">
              <w:rPr>
                <w:rFonts w:asciiTheme="majorBidi" w:hAnsiTheme="majorBidi" w:cstheme="majorBidi"/>
                <w:i/>
                <w:color w:val="000000" w:themeColor="text1"/>
              </w:rPr>
              <w:t>de decontare</w:t>
            </w:r>
            <w:r w:rsidRPr="000B038D">
              <w:rPr>
                <w:rFonts w:asciiTheme="majorBidi" w:hAnsiTheme="majorBidi" w:cstheme="majorBidi"/>
                <w:color w:val="000000" w:themeColor="text1"/>
              </w:rPr>
              <w:t>”;</w:t>
            </w:r>
          </w:p>
          <w:p w14:paraId="03E91018" w14:textId="77777777" w:rsidR="00D4221F" w:rsidRPr="000B038D" w:rsidRDefault="00D4221F" w:rsidP="00D4221F">
            <w:pPr>
              <w:pStyle w:val="ListParagraph"/>
              <w:numPr>
                <w:ilvl w:val="0"/>
                <w:numId w:val="29"/>
              </w:numPr>
              <w:tabs>
                <w:tab w:val="left" w:pos="265"/>
                <w:tab w:val="left" w:pos="1134"/>
              </w:tabs>
              <w:spacing w:after="0" w:line="240" w:lineRule="auto"/>
              <w:ind w:left="0" w:hanging="18"/>
              <w:jc w:val="both"/>
              <w:rPr>
                <w:rFonts w:asciiTheme="majorBidi" w:hAnsiTheme="majorBidi" w:cstheme="majorBidi"/>
                <w:color w:val="000000" w:themeColor="text1"/>
              </w:rPr>
            </w:pPr>
            <w:r w:rsidRPr="000B038D">
              <w:rPr>
                <w:rFonts w:asciiTheme="majorBidi" w:hAnsiTheme="majorBidi" w:cstheme="majorBidi"/>
                <w:color w:val="000000" w:themeColor="text1"/>
              </w:rPr>
              <w:t xml:space="preserve">la noțiunea sintagmei </w:t>
            </w:r>
            <w:proofErr w:type="spellStart"/>
            <w:r w:rsidRPr="000B038D">
              <w:rPr>
                <w:rFonts w:asciiTheme="majorBidi" w:hAnsiTheme="majorBidi" w:cstheme="majorBidi"/>
                <w:i/>
                <w:color w:val="000000" w:themeColor="text1"/>
              </w:rPr>
              <w:t>NBal</w:t>
            </w:r>
            <w:proofErr w:type="spellEnd"/>
            <w:r w:rsidRPr="000B038D">
              <w:rPr>
                <w:rFonts w:asciiTheme="majorBidi" w:hAnsiTheme="majorBidi" w:cstheme="majorBidi"/>
                <w:color w:val="000000" w:themeColor="text1"/>
              </w:rPr>
              <w:t xml:space="preserve"> cuvântul „</w:t>
            </w:r>
            <w:r w:rsidRPr="000B038D">
              <w:rPr>
                <w:rFonts w:asciiTheme="majorBidi" w:hAnsiTheme="majorBidi" w:cstheme="majorBidi"/>
                <w:i/>
                <w:color w:val="000000" w:themeColor="text1"/>
              </w:rPr>
              <w:t>în</w:t>
            </w:r>
            <w:r w:rsidRPr="000B038D">
              <w:rPr>
                <w:rFonts w:asciiTheme="majorBidi" w:hAnsiTheme="majorBidi" w:cstheme="majorBidi"/>
                <w:color w:val="000000" w:themeColor="text1"/>
              </w:rPr>
              <w:t>” se va substitui cu cuvântul „</w:t>
            </w:r>
            <w:r w:rsidRPr="000B038D">
              <w:rPr>
                <w:rFonts w:asciiTheme="majorBidi" w:hAnsiTheme="majorBidi" w:cstheme="majorBidi"/>
                <w:i/>
                <w:color w:val="000000" w:themeColor="text1"/>
              </w:rPr>
              <w:t>pe</w:t>
            </w:r>
            <w:r w:rsidRPr="000B038D">
              <w:rPr>
                <w:rFonts w:asciiTheme="majorBidi" w:hAnsiTheme="majorBidi" w:cstheme="majorBidi"/>
                <w:color w:val="000000" w:themeColor="text1"/>
              </w:rPr>
              <w:t>”;</w:t>
            </w:r>
          </w:p>
          <w:p w14:paraId="1F1B11EF" w14:textId="77777777" w:rsidR="00D4221F" w:rsidRPr="000B038D" w:rsidRDefault="00D4221F" w:rsidP="00D4221F">
            <w:pPr>
              <w:pStyle w:val="ListParagraph"/>
              <w:numPr>
                <w:ilvl w:val="0"/>
                <w:numId w:val="29"/>
              </w:numPr>
              <w:tabs>
                <w:tab w:val="left" w:pos="265"/>
                <w:tab w:val="left" w:pos="1134"/>
              </w:tabs>
              <w:spacing w:after="0" w:line="240" w:lineRule="auto"/>
              <w:ind w:left="0" w:hanging="18"/>
              <w:jc w:val="both"/>
              <w:rPr>
                <w:rFonts w:asciiTheme="majorBidi" w:hAnsiTheme="majorBidi" w:cstheme="majorBidi"/>
                <w:color w:val="000000" w:themeColor="text1"/>
              </w:rPr>
            </w:pPr>
            <w:r w:rsidRPr="000B038D">
              <w:rPr>
                <w:rFonts w:asciiTheme="majorBidi" w:hAnsiTheme="majorBidi" w:cstheme="majorBidi"/>
                <w:color w:val="000000" w:themeColor="text1"/>
              </w:rPr>
              <w:t xml:space="preserve">la noțiunea sintagmei </w:t>
            </w:r>
            <w:r w:rsidRPr="000B038D">
              <w:rPr>
                <w:rFonts w:asciiTheme="majorBidi" w:hAnsiTheme="majorBidi" w:cstheme="majorBidi"/>
                <w:i/>
                <w:color w:val="000000" w:themeColor="text1"/>
              </w:rPr>
              <w:t xml:space="preserve">Adj </w:t>
            </w:r>
            <w:proofErr w:type="spellStart"/>
            <w:r w:rsidRPr="000B038D">
              <w:rPr>
                <w:rFonts w:asciiTheme="majorBidi" w:hAnsiTheme="majorBidi" w:cstheme="majorBidi"/>
                <w:color w:val="000000" w:themeColor="text1"/>
              </w:rPr>
              <w:t>subpct</w:t>
            </w:r>
            <w:proofErr w:type="spellEnd"/>
            <w:r w:rsidRPr="000B038D">
              <w:rPr>
                <w:rFonts w:asciiTheme="majorBidi" w:hAnsiTheme="majorBidi" w:cstheme="majorBidi"/>
                <w:color w:val="000000" w:themeColor="text1"/>
              </w:rPr>
              <w:t>. 1) textul „</w:t>
            </w:r>
            <w:r w:rsidRPr="000B038D">
              <w:rPr>
                <w:rFonts w:asciiTheme="majorBidi" w:hAnsiTheme="majorBidi" w:cstheme="majorBidi"/>
                <w:i/>
                <w:color w:val="000000" w:themeColor="text1"/>
              </w:rPr>
              <w:t>cu alineatul 3 al prezentului Articol</w:t>
            </w:r>
            <w:r w:rsidRPr="000B038D">
              <w:rPr>
                <w:rFonts w:asciiTheme="majorBidi" w:hAnsiTheme="majorBidi" w:cstheme="majorBidi"/>
                <w:color w:val="000000" w:themeColor="text1"/>
              </w:rPr>
              <w:t>” este necesar de redactat, întrucât proiectul Metodologiei nu conține alineate și articole.</w:t>
            </w:r>
          </w:p>
          <w:p w14:paraId="07CDD200" w14:textId="77777777" w:rsidR="00D4221F" w:rsidRPr="000B038D" w:rsidRDefault="00D4221F" w:rsidP="00D4221F">
            <w:pPr>
              <w:pStyle w:val="ListParagraph"/>
              <w:tabs>
                <w:tab w:val="left" w:pos="265"/>
              </w:tabs>
              <w:spacing w:after="0" w:line="240" w:lineRule="auto"/>
              <w:ind w:left="0"/>
              <w:jc w:val="both"/>
              <w:rPr>
                <w:rFonts w:asciiTheme="majorBidi" w:hAnsiTheme="majorBidi" w:cstheme="majorBidi"/>
                <w:color w:val="000000" w:themeColor="text1"/>
              </w:rPr>
            </w:pPr>
          </w:p>
        </w:tc>
        <w:tc>
          <w:tcPr>
            <w:cnfStyle w:val="000100000000" w:firstRow="0" w:lastRow="0" w:firstColumn="0" w:lastColumn="1" w:oddVBand="0" w:evenVBand="0" w:oddHBand="0" w:evenHBand="0" w:firstRowFirstColumn="0" w:firstRowLastColumn="0" w:lastRowFirstColumn="0" w:lastRowLastColumn="0"/>
            <w:tcW w:w="1042" w:type="pct"/>
            <w:shd w:val="clear" w:color="auto" w:fill="auto"/>
          </w:tcPr>
          <w:p w14:paraId="7DFDF920" w14:textId="72B7C341" w:rsidR="00D4221F" w:rsidRPr="00D7413C" w:rsidRDefault="00D4221F" w:rsidP="00D4221F">
            <w:pPr>
              <w:jc w:val="both"/>
              <w:rPr>
                <w:bCs w:val="0"/>
                <w:sz w:val="22"/>
                <w:szCs w:val="22"/>
                <w:lang w:val="ro-MD"/>
              </w:rPr>
            </w:pPr>
            <w:r w:rsidRPr="00D7413C">
              <w:rPr>
                <w:sz w:val="22"/>
                <w:szCs w:val="22"/>
                <w:lang w:val="ro-MD"/>
              </w:rPr>
              <w:t>Se accepta</w:t>
            </w:r>
            <w:r>
              <w:rPr>
                <w:sz w:val="22"/>
                <w:szCs w:val="22"/>
                <w:lang w:val="ro-MD"/>
              </w:rPr>
              <w:t xml:space="preserve"> parțial</w:t>
            </w:r>
          </w:p>
          <w:p w14:paraId="2F1180B7" w14:textId="77777777" w:rsidR="00D4221F" w:rsidRPr="00D7413C" w:rsidRDefault="00D4221F" w:rsidP="00D4221F">
            <w:pPr>
              <w:tabs>
                <w:tab w:val="left" w:pos="527"/>
              </w:tabs>
              <w:rPr>
                <w:sz w:val="22"/>
                <w:szCs w:val="22"/>
                <w:lang w:val="ro-MD"/>
              </w:rPr>
            </w:pPr>
          </w:p>
          <w:p w14:paraId="45861F95" w14:textId="4163D8B8" w:rsidR="00D4221F" w:rsidRPr="0000098F" w:rsidRDefault="00D4221F" w:rsidP="00D4221F">
            <w:pPr>
              <w:jc w:val="both"/>
              <w:rPr>
                <w:b w:val="0"/>
                <w:i/>
                <w:sz w:val="22"/>
                <w:szCs w:val="22"/>
                <w:lang w:val="ro-RO"/>
              </w:rPr>
            </w:pPr>
            <w:r w:rsidRPr="0000098F">
              <w:rPr>
                <w:b w:val="0"/>
                <w:sz w:val="22"/>
                <w:szCs w:val="22"/>
                <w:lang w:val="ro-RO"/>
              </w:rPr>
              <w:t>Formula s-a schimbat:</w:t>
            </w:r>
            <w:r w:rsidRPr="0000098F">
              <w:rPr>
                <w:b w:val="0"/>
                <w:i/>
                <w:sz w:val="22"/>
                <w:szCs w:val="22"/>
                <w:lang w:val="ro-RO"/>
              </w:rPr>
              <w:t xml:space="preserve"> </w:t>
            </w:r>
          </w:p>
          <w:p w14:paraId="63019249" w14:textId="77777777" w:rsidR="00D4221F" w:rsidRPr="0000098F" w:rsidRDefault="00D4221F" w:rsidP="00D4221F">
            <w:pPr>
              <w:jc w:val="center"/>
              <w:rPr>
                <w:b w:val="0"/>
                <w:i/>
                <w:sz w:val="22"/>
                <w:szCs w:val="22"/>
                <w:lang w:val="ro-RO"/>
              </w:rPr>
            </w:pPr>
            <w:r w:rsidRPr="0000098F">
              <w:rPr>
                <w:b w:val="0"/>
                <w:i/>
                <w:sz w:val="22"/>
                <w:szCs w:val="22"/>
                <w:lang w:val="ro-RO"/>
              </w:rPr>
              <w:t>RN</w:t>
            </w:r>
            <w:r w:rsidRPr="0000098F">
              <w:rPr>
                <w:b w:val="0"/>
                <w:i/>
                <w:sz w:val="22"/>
                <w:szCs w:val="22"/>
                <w:vertAlign w:val="subscript"/>
                <w:lang w:val="ro-RO"/>
              </w:rPr>
              <w:t>M</w:t>
            </w:r>
            <w:r w:rsidRPr="0000098F">
              <w:rPr>
                <w:b w:val="0"/>
                <w:i/>
                <w:sz w:val="22"/>
                <w:szCs w:val="22"/>
                <w:lang w:val="ro-RO"/>
              </w:rPr>
              <w:t xml:space="preserve"> = </w:t>
            </w:r>
            <w:proofErr w:type="spellStart"/>
            <w:r w:rsidRPr="0000098F">
              <w:rPr>
                <w:b w:val="0"/>
                <w:i/>
                <w:sz w:val="22"/>
                <w:szCs w:val="22"/>
                <w:lang w:val="ro-RO"/>
              </w:rPr>
              <w:t>NBal</w:t>
            </w:r>
            <w:proofErr w:type="spellEnd"/>
            <w:r w:rsidRPr="0000098F">
              <w:rPr>
                <w:b w:val="0"/>
                <w:i/>
                <w:sz w:val="22"/>
                <w:szCs w:val="22"/>
                <w:lang w:val="ro-RO"/>
              </w:rPr>
              <w:t xml:space="preserve"> / Q</w:t>
            </w:r>
            <w:r w:rsidRPr="0000098F">
              <w:rPr>
                <w:b w:val="0"/>
                <w:i/>
                <w:sz w:val="22"/>
                <w:szCs w:val="22"/>
                <w:vertAlign w:val="subscript"/>
                <w:lang w:val="ro-RO"/>
              </w:rPr>
              <w:t>T</w:t>
            </w:r>
          </w:p>
          <w:p w14:paraId="4D37E484" w14:textId="663D9171" w:rsidR="00D4221F" w:rsidRPr="0000098F" w:rsidRDefault="00D4221F" w:rsidP="00D4221F">
            <w:pPr>
              <w:jc w:val="both"/>
              <w:rPr>
                <w:b w:val="0"/>
                <w:bCs w:val="0"/>
                <w:sz w:val="22"/>
                <w:szCs w:val="22"/>
                <w:lang w:val="ro-MD"/>
              </w:rPr>
            </w:pPr>
            <w:r w:rsidRPr="0000098F">
              <w:rPr>
                <w:b w:val="0"/>
                <w:sz w:val="22"/>
                <w:szCs w:val="22"/>
                <w:lang w:val="ro-MD"/>
              </w:rPr>
              <w:t>Termenul „Adj” – s-a exclus</w:t>
            </w:r>
          </w:p>
          <w:p w14:paraId="6C75B7A3" w14:textId="4BAB4C36" w:rsidR="00D4221F" w:rsidRPr="001E3E73" w:rsidRDefault="00D4221F" w:rsidP="00D4221F">
            <w:pPr>
              <w:tabs>
                <w:tab w:val="left" w:pos="527"/>
              </w:tabs>
              <w:rPr>
                <w:sz w:val="20"/>
                <w:szCs w:val="20"/>
                <w:lang w:val="ro-MD"/>
              </w:rPr>
            </w:pPr>
          </w:p>
        </w:tc>
      </w:tr>
      <w:tr w:rsidR="00D4221F" w:rsidRPr="00E11DE1" w14:paraId="0034B89B" w14:textId="77777777" w:rsidTr="006C7A87">
        <w:trPr>
          <w:trHeight w:val="841"/>
        </w:trPr>
        <w:tc>
          <w:tcPr>
            <w:tcW w:w="327" w:type="pct"/>
            <w:vAlign w:val="center"/>
          </w:tcPr>
          <w:p w14:paraId="45C9B3BA" w14:textId="5453A7B9" w:rsidR="00D4221F" w:rsidRPr="000B038D" w:rsidRDefault="00D4221F" w:rsidP="00D4221F">
            <w:pPr>
              <w:jc w:val="center"/>
              <w:rPr>
                <w:sz w:val="22"/>
                <w:szCs w:val="22"/>
                <w:lang w:val="ro-RO"/>
              </w:rPr>
            </w:pPr>
            <w:r w:rsidRPr="000B038D">
              <w:rPr>
                <w:sz w:val="22"/>
                <w:szCs w:val="22"/>
                <w:lang w:val="ro-RO"/>
              </w:rPr>
              <w:lastRenderedPageBreak/>
              <w:t>Pct.</w:t>
            </w:r>
            <w:r>
              <w:rPr>
                <w:sz w:val="22"/>
                <w:szCs w:val="22"/>
                <w:lang w:val="ro-RO"/>
              </w:rPr>
              <w:t xml:space="preserve"> </w:t>
            </w:r>
            <w:r w:rsidRPr="000B038D">
              <w:rPr>
                <w:sz w:val="22"/>
                <w:szCs w:val="22"/>
                <w:lang w:val="ro-RO"/>
              </w:rPr>
              <w:t>12</w:t>
            </w:r>
          </w:p>
        </w:tc>
        <w:tc>
          <w:tcPr>
            <w:tcW w:w="602" w:type="pct"/>
            <w:vAlign w:val="center"/>
          </w:tcPr>
          <w:p w14:paraId="5AE746E4" w14:textId="77777777" w:rsidR="00D4221F" w:rsidRPr="000B038D" w:rsidRDefault="00D4221F" w:rsidP="00D4221F">
            <w:pPr>
              <w:jc w:val="center"/>
              <w:rPr>
                <w:b/>
                <w:bCs/>
                <w:sz w:val="22"/>
                <w:szCs w:val="22"/>
                <w:lang w:val="ro-RO"/>
              </w:rPr>
            </w:pPr>
            <w:r w:rsidRPr="000B038D">
              <w:rPr>
                <w:sz w:val="22"/>
                <w:szCs w:val="22"/>
                <w:lang w:val="it-IT"/>
              </w:rPr>
              <w:t xml:space="preserve">SA </w:t>
            </w:r>
            <w:r w:rsidRPr="000B038D">
              <w:rPr>
                <w:sz w:val="22"/>
                <w:szCs w:val="22"/>
                <w:lang w:val="ro-RO"/>
              </w:rPr>
              <w:t>„</w:t>
            </w:r>
            <w:proofErr w:type="spellStart"/>
            <w:r w:rsidRPr="000B038D">
              <w:rPr>
                <w:sz w:val="22"/>
                <w:szCs w:val="22"/>
                <w:lang w:val="it-IT"/>
              </w:rPr>
              <w:t>Moldovagaz</w:t>
            </w:r>
            <w:proofErr w:type="spellEnd"/>
            <w:r w:rsidRPr="000B038D">
              <w:rPr>
                <w:sz w:val="22"/>
                <w:szCs w:val="22"/>
                <w:lang w:val="ro-RO"/>
              </w:rPr>
              <w:t>”</w:t>
            </w:r>
          </w:p>
          <w:p w14:paraId="75977E6E" w14:textId="77777777" w:rsidR="00D4221F" w:rsidRPr="000B038D" w:rsidRDefault="00D4221F" w:rsidP="00D4221F">
            <w:pPr>
              <w:jc w:val="center"/>
              <w:rPr>
                <w:b/>
                <w:bCs/>
                <w:sz w:val="22"/>
                <w:szCs w:val="22"/>
                <w:lang w:val="it-IT"/>
              </w:rPr>
            </w:pPr>
            <w:r w:rsidRPr="000B038D">
              <w:rPr>
                <w:sz w:val="22"/>
                <w:szCs w:val="22"/>
                <w:lang w:val="ro-RO"/>
              </w:rPr>
              <w:t>nr. 02/2-2475 din 03.09.2024</w:t>
            </w:r>
          </w:p>
          <w:p w14:paraId="6600D0E4" w14:textId="77777777" w:rsidR="00D4221F" w:rsidRPr="000B038D" w:rsidRDefault="00D4221F" w:rsidP="00D4221F">
            <w:pPr>
              <w:jc w:val="center"/>
              <w:rPr>
                <w:sz w:val="22"/>
                <w:szCs w:val="22"/>
                <w:lang w:val="it-IT"/>
              </w:rPr>
            </w:pPr>
          </w:p>
        </w:tc>
        <w:tc>
          <w:tcPr>
            <w:tcW w:w="1309" w:type="pct"/>
          </w:tcPr>
          <w:p w14:paraId="485AB15D" w14:textId="4C8E7E46" w:rsidR="00D4221F" w:rsidRPr="000B038D" w:rsidRDefault="00D4221F" w:rsidP="00D4221F">
            <w:pPr>
              <w:jc w:val="both"/>
              <w:rPr>
                <w:sz w:val="22"/>
                <w:szCs w:val="22"/>
                <w:lang w:val="ro-MD"/>
              </w:rPr>
            </w:pPr>
            <w:r w:rsidRPr="000B038D">
              <w:rPr>
                <w:sz w:val="22"/>
                <w:szCs w:val="22"/>
                <w:lang w:val="ro-MD"/>
              </w:rPr>
              <w:t>Până în a 19-a zi a lunii M+1, OST calculează plata pentru neutralitate care urmează să fie plătită de către PRE sau OST, pentru a deconta soldul contului de neutralitate al lunii precedente M.</w:t>
            </w:r>
          </w:p>
        </w:tc>
        <w:tc>
          <w:tcPr>
            <w:tcW w:w="1719" w:type="pct"/>
            <w:shd w:val="clear" w:color="auto" w:fill="auto"/>
          </w:tcPr>
          <w:p w14:paraId="3DCDBA7C" w14:textId="77777777" w:rsidR="00D4221F" w:rsidRPr="000B038D" w:rsidRDefault="00D4221F" w:rsidP="00D4221F">
            <w:pPr>
              <w:pStyle w:val="ListParagraph"/>
              <w:tabs>
                <w:tab w:val="left" w:pos="265"/>
              </w:tabs>
              <w:spacing w:after="0" w:line="240" w:lineRule="auto"/>
              <w:ind w:left="0"/>
              <w:jc w:val="both"/>
              <w:rPr>
                <w:rFonts w:asciiTheme="majorBidi" w:hAnsiTheme="majorBidi" w:cstheme="majorBidi"/>
                <w:color w:val="000000" w:themeColor="text1"/>
              </w:rPr>
            </w:pPr>
            <w:r w:rsidRPr="000B038D">
              <w:rPr>
                <w:rFonts w:asciiTheme="majorBidi" w:hAnsiTheme="majorBidi" w:cstheme="majorBidi"/>
                <w:color w:val="000000" w:themeColor="text1"/>
              </w:rPr>
              <w:t>Pct. 12 textul „</w:t>
            </w:r>
            <w:r w:rsidRPr="000B038D">
              <w:rPr>
                <w:rFonts w:asciiTheme="majorBidi" w:hAnsiTheme="majorBidi" w:cstheme="majorBidi"/>
                <w:i/>
                <w:color w:val="000000" w:themeColor="text1"/>
              </w:rPr>
              <w:t>de către PRE sau OST</w:t>
            </w:r>
            <w:r w:rsidRPr="000B038D">
              <w:rPr>
                <w:rFonts w:asciiTheme="majorBidi" w:hAnsiTheme="majorBidi" w:cstheme="majorBidi"/>
                <w:color w:val="000000" w:themeColor="text1"/>
              </w:rPr>
              <w:t>” se va substitui cu textul „</w:t>
            </w:r>
            <w:r w:rsidRPr="000B038D">
              <w:rPr>
                <w:rFonts w:asciiTheme="majorBidi" w:hAnsiTheme="majorBidi" w:cstheme="majorBidi"/>
                <w:i/>
                <w:color w:val="000000" w:themeColor="text1"/>
              </w:rPr>
              <w:t>de către sau către PRE</w:t>
            </w:r>
            <w:r w:rsidRPr="000B038D">
              <w:rPr>
                <w:rFonts w:asciiTheme="majorBidi" w:hAnsiTheme="majorBidi" w:cstheme="majorBidi"/>
                <w:color w:val="000000" w:themeColor="text1"/>
              </w:rPr>
              <w:t xml:space="preserve">”, conform pct. 190 din Regulile pieței. </w:t>
            </w:r>
          </w:p>
          <w:p w14:paraId="5A532443" w14:textId="77777777" w:rsidR="00D4221F" w:rsidRPr="000B038D" w:rsidRDefault="00D4221F" w:rsidP="00D4221F">
            <w:pPr>
              <w:pStyle w:val="ListParagraph"/>
              <w:tabs>
                <w:tab w:val="left" w:pos="265"/>
                <w:tab w:val="left" w:pos="1134"/>
              </w:tabs>
              <w:spacing w:after="0" w:line="240" w:lineRule="auto"/>
              <w:ind w:left="0"/>
              <w:jc w:val="both"/>
              <w:rPr>
                <w:rFonts w:asciiTheme="majorBidi" w:hAnsiTheme="majorBidi" w:cstheme="majorBidi"/>
                <w:color w:val="000000" w:themeColor="text1"/>
              </w:rPr>
            </w:pPr>
          </w:p>
        </w:tc>
        <w:tc>
          <w:tcPr>
            <w:cnfStyle w:val="000100000000" w:firstRow="0" w:lastRow="0" w:firstColumn="0" w:lastColumn="1" w:oddVBand="0" w:evenVBand="0" w:oddHBand="0" w:evenHBand="0" w:firstRowFirstColumn="0" w:firstRowLastColumn="0" w:lastRowFirstColumn="0" w:lastRowLastColumn="0"/>
            <w:tcW w:w="1042" w:type="pct"/>
            <w:shd w:val="clear" w:color="auto" w:fill="auto"/>
          </w:tcPr>
          <w:p w14:paraId="42A2F242" w14:textId="33A9C5C4" w:rsidR="00D4221F" w:rsidRPr="000B038D" w:rsidRDefault="00D4221F" w:rsidP="00D4221F">
            <w:pPr>
              <w:jc w:val="both"/>
              <w:rPr>
                <w:sz w:val="22"/>
                <w:szCs w:val="22"/>
                <w:lang w:val="ro-MD"/>
              </w:rPr>
            </w:pPr>
            <w:r>
              <w:rPr>
                <w:sz w:val="22"/>
                <w:szCs w:val="22"/>
                <w:lang w:val="ro-MD"/>
              </w:rPr>
              <w:t>Se acceptă.</w:t>
            </w:r>
          </w:p>
        </w:tc>
      </w:tr>
      <w:tr w:rsidR="00D4221F" w:rsidRPr="00B3091C" w14:paraId="7DD1FA9A" w14:textId="77777777" w:rsidTr="008573E3">
        <w:trPr>
          <w:trHeight w:val="2189"/>
        </w:trPr>
        <w:tc>
          <w:tcPr>
            <w:tcW w:w="327" w:type="pct"/>
            <w:vAlign w:val="center"/>
          </w:tcPr>
          <w:p w14:paraId="627D5C9A" w14:textId="0426A007" w:rsidR="00D4221F" w:rsidRPr="000B038D" w:rsidRDefault="00D4221F" w:rsidP="00D4221F">
            <w:pPr>
              <w:jc w:val="center"/>
              <w:rPr>
                <w:sz w:val="22"/>
                <w:szCs w:val="22"/>
                <w:lang w:val="ro-RO"/>
              </w:rPr>
            </w:pPr>
            <w:r w:rsidRPr="000B038D">
              <w:rPr>
                <w:sz w:val="22"/>
                <w:szCs w:val="22"/>
                <w:lang w:val="ro-RO"/>
              </w:rPr>
              <w:t>Pct.</w:t>
            </w:r>
            <w:r>
              <w:rPr>
                <w:sz w:val="22"/>
                <w:szCs w:val="22"/>
                <w:lang w:val="ro-RO"/>
              </w:rPr>
              <w:t xml:space="preserve"> </w:t>
            </w:r>
            <w:r w:rsidRPr="000B038D">
              <w:rPr>
                <w:sz w:val="22"/>
                <w:szCs w:val="22"/>
                <w:lang w:val="ro-RO"/>
              </w:rPr>
              <w:t>13</w:t>
            </w:r>
          </w:p>
        </w:tc>
        <w:tc>
          <w:tcPr>
            <w:tcW w:w="602" w:type="pct"/>
            <w:vAlign w:val="center"/>
          </w:tcPr>
          <w:p w14:paraId="01F74B27" w14:textId="77777777" w:rsidR="00D4221F" w:rsidRPr="000B038D" w:rsidRDefault="00D4221F" w:rsidP="00D4221F">
            <w:pPr>
              <w:jc w:val="center"/>
              <w:rPr>
                <w:b/>
                <w:bCs/>
                <w:sz w:val="22"/>
                <w:szCs w:val="22"/>
                <w:lang w:val="ro-RO"/>
              </w:rPr>
            </w:pPr>
            <w:r w:rsidRPr="000B038D">
              <w:rPr>
                <w:sz w:val="22"/>
                <w:szCs w:val="22"/>
                <w:lang w:val="it-IT"/>
              </w:rPr>
              <w:t xml:space="preserve">SA </w:t>
            </w:r>
            <w:r w:rsidRPr="000B038D">
              <w:rPr>
                <w:sz w:val="22"/>
                <w:szCs w:val="22"/>
                <w:lang w:val="ro-RO"/>
              </w:rPr>
              <w:t>„</w:t>
            </w:r>
            <w:proofErr w:type="spellStart"/>
            <w:r w:rsidRPr="000B038D">
              <w:rPr>
                <w:sz w:val="22"/>
                <w:szCs w:val="22"/>
                <w:lang w:val="it-IT"/>
              </w:rPr>
              <w:t>Moldovagaz</w:t>
            </w:r>
            <w:proofErr w:type="spellEnd"/>
            <w:r w:rsidRPr="000B038D">
              <w:rPr>
                <w:sz w:val="22"/>
                <w:szCs w:val="22"/>
                <w:lang w:val="ro-RO"/>
              </w:rPr>
              <w:t>”</w:t>
            </w:r>
          </w:p>
          <w:p w14:paraId="070ACC12" w14:textId="77777777" w:rsidR="00D4221F" w:rsidRPr="000B038D" w:rsidRDefault="00D4221F" w:rsidP="00D4221F">
            <w:pPr>
              <w:jc w:val="center"/>
              <w:rPr>
                <w:b/>
                <w:bCs/>
                <w:sz w:val="22"/>
                <w:szCs w:val="22"/>
                <w:lang w:val="it-IT"/>
              </w:rPr>
            </w:pPr>
            <w:r w:rsidRPr="000B038D">
              <w:rPr>
                <w:sz w:val="22"/>
                <w:szCs w:val="22"/>
                <w:lang w:val="ro-RO"/>
              </w:rPr>
              <w:t>nr. 02/2-2475 din 03.09.2024</w:t>
            </w:r>
          </w:p>
          <w:p w14:paraId="7E56786D" w14:textId="77777777" w:rsidR="00D4221F" w:rsidRPr="000B038D" w:rsidRDefault="00D4221F" w:rsidP="00D4221F">
            <w:pPr>
              <w:jc w:val="center"/>
              <w:rPr>
                <w:sz w:val="22"/>
                <w:szCs w:val="22"/>
                <w:lang w:val="it-IT"/>
              </w:rPr>
            </w:pPr>
          </w:p>
        </w:tc>
        <w:tc>
          <w:tcPr>
            <w:tcW w:w="1309" w:type="pct"/>
          </w:tcPr>
          <w:p w14:paraId="5656F0CC" w14:textId="6596C249" w:rsidR="00D4221F" w:rsidRPr="000B038D" w:rsidRDefault="00D4221F" w:rsidP="00D4221F">
            <w:pPr>
              <w:jc w:val="both"/>
              <w:rPr>
                <w:sz w:val="22"/>
                <w:szCs w:val="22"/>
                <w:lang w:val="ro-MD"/>
              </w:rPr>
            </w:pPr>
            <w:r w:rsidRPr="000B038D">
              <w:rPr>
                <w:sz w:val="22"/>
                <w:szCs w:val="22"/>
                <w:lang w:val="ro-MD"/>
              </w:rPr>
              <w:t>Dacă prețul unității de neutralitate, calculat conform Secțiunii 3, este negativ, ceea ce denotă un deficit în contul de neutralitate, atunci PRE trebuie să plătească plata pentru neutralitate OST. Dacă prețul unității de neutralitate este pozitiv, ceea ce denotă un excedent în contul de neutralitate, atunci OST trebuie să plătească plata pentru neutralitate PRE.</w:t>
            </w:r>
          </w:p>
        </w:tc>
        <w:tc>
          <w:tcPr>
            <w:tcW w:w="1719" w:type="pct"/>
            <w:shd w:val="clear" w:color="auto" w:fill="auto"/>
          </w:tcPr>
          <w:p w14:paraId="093B1161" w14:textId="77777777" w:rsidR="00D4221F" w:rsidRPr="000B038D" w:rsidRDefault="00D4221F" w:rsidP="00D4221F">
            <w:pPr>
              <w:pStyle w:val="ListParagraph"/>
              <w:tabs>
                <w:tab w:val="left" w:pos="265"/>
              </w:tabs>
              <w:spacing w:after="0" w:line="240" w:lineRule="auto"/>
              <w:ind w:left="0"/>
              <w:jc w:val="both"/>
              <w:rPr>
                <w:rFonts w:asciiTheme="majorBidi" w:hAnsiTheme="majorBidi" w:cstheme="majorBidi"/>
                <w:color w:val="000000" w:themeColor="text1"/>
              </w:rPr>
            </w:pPr>
            <w:r w:rsidRPr="000B038D">
              <w:rPr>
                <w:rFonts w:asciiTheme="majorBidi" w:hAnsiTheme="majorBidi" w:cstheme="majorBidi"/>
                <w:color w:val="000000" w:themeColor="text1"/>
              </w:rPr>
              <w:t>Pct. 13 cuvintele „</w:t>
            </w:r>
            <w:r w:rsidRPr="000B038D">
              <w:rPr>
                <w:rFonts w:asciiTheme="majorBidi" w:hAnsiTheme="majorBidi" w:cstheme="majorBidi"/>
                <w:i/>
                <w:color w:val="000000" w:themeColor="text1"/>
              </w:rPr>
              <w:t>prețul unității de neutralitate</w:t>
            </w:r>
            <w:r w:rsidRPr="000B038D">
              <w:rPr>
                <w:rFonts w:asciiTheme="majorBidi" w:hAnsiTheme="majorBidi" w:cstheme="majorBidi"/>
                <w:color w:val="000000" w:themeColor="text1"/>
              </w:rPr>
              <w:t>” se va substitui cu cuvintele „</w:t>
            </w:r>
            <w:r w:rsidRPr="000B038D">
              <w:rPr>
                <w:rFonts w:asciiTheme="majorBidi" w:hAnsiTheme="majorBidi" w:cstheme="majorBidi"/>
                <w:i/>
                <w:color w:val="000000" w:themeColor="text1"/>
              </w:rPr>
              <w:t>tariful de neutralitate</w:t>
            </w:r>
            <w:r w:rsidRPr="000B038D">
              <w:rPr>
                <w:rFonts w:asciiTheme="majorBidi" w:hAnsiTheme="majorBidi" w:cstheme="majorBidi"/>
                <w:color w:val="000000" w:themeColor="text1"/>
              </w:rPr>
              <w:t>”, potrivit pct. 10 din prezentul proiect.</w:t>
            </w:r>
          </w:p>
          <w:p w14:paraId="60609E0B" w14:textId="77777777" w:rsidR="00D4221F" w:rsidRPr="000B038D" w:rsidRDefault="00D4221F" w:rsidP="00D4221F">
            <w:pPr>
              <w:pStyle w:val="ListParagraph"/>
              <w:tabs>
                <w:tab w:val="left" w:pos="265"/>
              </w:tabs>
              <w:spacing w:after="0" w:line="240" w:lineRule="auto"/>
              <w:ind w:left="0"/>
              <w:jc w:val="both"/>
              <w:rPr>
                <w:rFonts w:asciiTheme="majorBidi" w:hAnsiTheme="majorBidi" w:cstheme="majorBidi"/>
                <w:color w:val="000000" w:themeColor="text1"/>
              </w:rPr>
            </w:pPr>
          </w:p>
        </w:tc>
        <w:tc>
          <w:tcPr>
            <w:cnfStyle w:val="000100000000" w:firstRow="0" w:lastRow="0" w:firstColumn="0" w:lastColumn="1" w:oddVBand="0" w:evenVBand="0" w:oddHBand="0" w:evenHBand="0" w:firstRowFirstColumn="0" w:firstRowLastColumn="0" w:lastRowFirstColumn="0" w:lastRowLastColumn="0"/>
            <w:tcW w:w="1042" w:type="pct"/>
            <w:shd w:val="clear" w:color="auto" w:fill="auto"/>
          </w:tcPr>
          <w:p w14:paraId="759C0753" w14:textId="373F36AB" w:rsidR="00D4221F" w:rsidRPr="008573E3" w:rsidRDefault="00D4221F" w:rsidP="008573E3">
            <w:pPr>
              <w:jc w:val="both"/>
              <w:rPr>
                <w:rFonts w:asciiTheme="majorBidi" w:hAnsiTheme="majorBidi" w:cstheme="majorBidi"/>
                <w:color w:val="000000" w:themeColor="text1"/>
                <w:lang w:val="en-US"/>
              </w:rPr>
            </w:pPr>
            <w:r w:rsidRPr="0079718A">
              <w:rPr>
                <w:rFonts w:asciiTheme="majorBidi" w:eastAsia="SimSun" w:hAnsiTheme="majorBidi" w:cstheme="majorBidi"/>
                <w:bCs w:val="0"/>
                <w:color w:val="000000" w:themeColor="text1"/>
                <w:sz w:val="22"/>
                <w:szCs w:val="22"/>
                <w:lang w:val="ro-RO" w:eastAsia="zh-CN"/>
              </w:rPr>
              <w:t>Se acceptă parțial</w:t>
            </w:r>
            <w:r w:rsidRPr="00F45DE1">
              <w:rPr>
                <w:rFonts w:asciiTheme="majorBidi" w:eastAsia="SimSun" w:hAnsiTheme="majorBidi" w:cstheme="majorBidi"/>
                <w:b w:val="0"/>
                <w:bCs w:val="0"/>
                <w:color w:val="000000" w:themeColor="text1"/>
                <w:sz w:val="22"/>
                <w:szCs w:val="22"/>
                <w:lang w:val="ro-RO" w:eastAsia="zh-CN"/>
              </w:rPr>
              <w:t>.</w:t>
            </w:r>
            <w:r w:rsidR="008573E3">
              <w:rPr>
                <w:rFonts w:asciiTheme="majorBidi" w:eastAsia="SimSun" w:hAnsiTheme="majorBidi" w:cstheme="majorBidi"/>
                <w:b w:val="0"/>
                <w:bCs w:val="0"/>
                <w:color w:val="000000" w:themeColor="text1"/>
                <w:sz w:val="22"/>
                <w:szCs w:val="22"/>
                <w:lang w:val="ro-RO" w:eastAsia="zh-CN"/>
              </w:rPr>
              <w:t xml:space="preserve"> S-a modificat în redacția </w:t>
            </w:r>
            <w:r w:rsidR="008573E3" w:rsidRPr="008573E3">
              <w:rPr>
                <w:rFonts w:asciiTheme="majorBidi" w:eastAsia="SimSun" w:hAnsiTheme="majorBidi" w:cstheme="majorBidi"/>
                <w:b w:val="0"/>
                <w:bCs w:val="0"/>
                <w:i/>
                <w:color w:val="000000" w:themeColor="text1"/>
                <w:sz w:val="22"/>
                <w:szCs w:val="22"/>
                <w:lang w:val="ro-RO" w:eastAsia="zh-CN"/>
              </w:rPr>
              <w:t>„rata de neutralitate</w:t>
            </w:r>
            <w:r w:rsidR="008573E3">
              <w:rPr>
                <w:rFonts w:asciiTheme="majorBidi" w:eastAsia="SimSun" w:hAnsiTheme="majorBidi" w:cstheme="majorBidi"/>
                <w:b w:val="0"/>
                <w:bCs w:val="0"/>
                <w:color w:val="000000" w:themeColor="text1"/>
                <w:sz w:val="22"/>
                <w:szCs w:val="22"/>
                <w:lang w:val="ro-RO" w:eastAsia="zh-CN"/>
              </w:rPr>
              <w:t>”.</w:t>
            </w:r>
          </w:p>
        </w:tc>
      </w:tr>
      <w:tr w:rsidR="008E7D19" w:rsidRPr="00F45DE1" w14:paraId="4683A191" w14:textId="77777777" w:rsidTr="006C7A87">
        <w:trPr>
          <w:trHeight w:val="841"/>
        </w:trPr>
        <w:tc>
          <w:tcPr>
            <w:tcW w:w="327" w:type="pct"/>
            <w:vAlign w:val="center"/>
          </w:tcPr>
          <w:p w14:paraId="4A0C3547" w14:textId="2D07406F" w:rsidR="008E7D19" w:rsidRPr="000B038D" w:rsidRDefault="008E7D19" w:rsidP="00D4221F">
            <w:pPr>
              <w:jc w:val="center"/>
              <w:rPr>
                <w:sz w:val="22"/>
                <w:szCs w:val="22"/>
                <w:lang w:val="ro-RO"/>
              </w:rPr>
            </w:pPr>
            <w:r w:rsidRPr="000B038D">
              <w:rPr>
                <w:sz w:val="22"/>
                <w:szCs w:val="22"/>
                <w:lang w:val="ro-RO"/>
              </w:rPr>
              <w:t>Pct.</w:t>
            </w:r>
            <w:r>
              <w:rPr>
                <w:sz w:val="22"/>
                <w:szCs w:val="22"/>
                <w:lang w:val="ro-RO"/>
              </w:rPr>
              <w:t xml:space="preserve"> </w:t>
            </w:r>
            <w:r w:rsidRPr="000B038D">
              <w:rPr>
                <w:sz w:val="22"/>
                <w:szCs w:val="22"/>
                <w:lang w:val="ro-RO"/>
              </w:rPr>
              <w:t>14</w:t>
            </w:r>
          </w:p>
        </w:tc>
        <w:tc>
          <w:tcPr>
            <w:tcW w:w="602" w:type="pct"/>
            <w:vAlign w:val="center"/>
          </w:tcPr>
          <w:p w14:paraId="5A221C16" w14:textId="77777777" w:rsidR="008E7D19" w:rsidRPr="000B038D" w:rsidRDefault="008E7D19" w:rsidP="00D4221F">
            <w:pPr>
              <w:jc w:val="center"/>
              <w:rPr>
                <w:b/>
                <w:bCs/>
                <w:sz w:val="22"/>
                <w:szCs w:val="22"/>
                <w:lang w:val="ro-RO"/>
              </w:rPr>
            </w:pPr>
            <w:r w:rsidRPr="000B038D">
              <w:rPr>
                <w:sz w:val="22"/>
                <w:szCs w:val="22"/>
                <w:lang w:val="it-IT"/>
              </w:rPr>
              <w:t xml:space="preserve">SA </w:t>
            </w:r>
            <w:r w:rsidRPr="000B038D">
              <w:rPr>
                <w:sz w:val="22"/>
                <w:szCs w:val="22"/>
                <w:lang w:val="ro-RO"/>
              </w:rPr>
              <w:t>„</w:t>
            </w:r>
            <w:proofErr w:type="spellStart"/>
            <w:r w:rsidRPr="000B038D">
              <w:rPr>
                <w:sz w:val="22"/>
                <w:szCs w:val="22"/>
                <w:lang w:val="it-IT"/>
              </w:rPr>
              <w:t>Moldovagaz</w:t>
            </w:r>
            <w:proofErr w:type="spellEnd"/>
            <w:r w:rsidRPr="000B038D">
              <w:rPr>
                <w:sz w:val="22"/>
                <w:szCs w:val="22"/>
                <w:lang w:val="ro-RO"/>
              </w:rPr>
              <w:t>”</w:t>
            </w:r>
          </w:p>
          <w:p w14:paraId="699C6BAE" w14:textId="77777777" w:rsidR="008E7D19" w:rsidRPr="000B038D" w:rsidRDefault="008E7D19" w:rsidP="00D4221F">
            <w:pPr>
              <w:jc w:val="center"/>
              <w:rPr>
                <w:b/>
                <w:bCs/>
                <w:sz w:val="22"/>
                <w:szCs w:val="22"/>
                <w:lang w:val="it-IT"/>
              </w:rPr>
            </w:pPr>
            <w:r w:rsidRPr="000B038D">
              <w:rPr>
                <w:sz w:val="22"/>
                <w:szCs w:val="22"/>
                <w:lang w:val="ro-RO"/>
              </w:rPr>
              <w:t>nr. 02/2-2475 din 03.09.2024</w:t>
            </w:r>
          </w:p>
          <w:p w14:paraId="5164C9B8" w14:textId="77777777" w:rsidR="008E7D19" w:rsidRPr="000B038D" w:rsidRDefault="008E7D19" w:rsidP="00D4221F">
            <w:pPr>
              <w:jc w:val="center"/>
              <w:rPr>
                <w:sz w:val="22"/>
                <w:szCs w:val="22"/>
                <w:lang w:val="it-IT"/>
              </w:rPr>
            </w:pPr>
          </w:p>
        </w:tc>
        <w:tc>
          <w:tcPr>
            <w:tcW w:w="1309" w:type="pct"/>
            <w:vMerge w:val="restart"/>
          </w:tcPr>
          <w:p w14:paraId="5C60F72F" w14:textId="04CFA92F" w:rsidR="008E7D19" w:rsidRPr="00B91CAA" w:rsidRDefault="008E7D19" w:rsidP="00B91CAA">
            <w:pPr>
              <w:pStyle w:val="ListParagraph"/>
              <w:numPr>
                <w:ilvl w:val="0"/>
                <w:numId w:val="41"/>
              </w:numPr>
              <w:tabs>
                <w:tab w:val="left" w:pos="284"/>
                <w:tab w:val="left" w:pos="426"/>
              </w:tabs>
              <w:ind w:left="0" w:firstLine="0"/>
              <w:jc w:val="both"/>
              <w:rPr>
                <w:rFonts w:ascii="Times New Roman" w:hAnsi="Times New Roman"/>
                <w:lang w:val="ro-MD"/>
              </w:rPr>
            </w:pPr>
            <w:r>
              <w:rPr>
                <w:rFonts w:ascii="Times New Roman" w:hAnsi="Times New Roman"/>
                <w:lang w:val="ro-MD"/>
              </w:rPr>
              <w:t xml:space="preserve"> </w:t>
            </w:r>
            <w:r w:rsidRPr="00B91CAA">
              <w:rPr>
                <w:rFonts w:ascii="Times New Roman" w:hAnsi="Times New Roman"/>
                <w:lang w:val="ro-MD"/>
              </w:rPr>
              <w:t>Plata pentru neutralitate (PN) a fiecărei PRE pentru luna M se bazează pe cantitățile de gaze naturale livrate și retrase din sistemul de transport de către PRE în cursul lunii, exprimate în MDL/kWh, se calculează după următoarea formulă:</w:t>
            </w:r>
          </w:p>
          <w:p w14:paraId="4CB8E5F0" w14:textId="634D0C3B" w:rsidR="008E7D19" w:rsidRPr="000F011F" w:rsidRDefault="008E7D19" w:rsidP="00D4221F">
            <w:pPr>
              <w:tabs>
                <w:tab w:val="left" w:pos="284"/>
              </w:tabs>
              <w:jc w:val="center"/>
              <w:rPr>
                <w:sz w:val="22"/>
                <w:szCs w:val="22"/>
                <w:lang w:val="ro-MD"/>
              </w:rPr>
            </w:pPr>
            <w:r w:rsidRPr="000B038D">
              <w:rPr>
                <w:sz w:val="22"/>
                <w:szCs w:val="22"/>
                <w:lang w:val="ro-MD"/>
              </w:rPr>
              <w:t xml:space="preserve">PN= </w:t>
            </w:r>
            <w:proofErr w:type="spellStart"/>
            <w:r w:rsidRPr="000B038D">
              <w:rPr>
                <w:sz w:val="22"/>
                <w:szCs w:val="22"/>
                <w:lang w:val="ro-MD"/>
              </w:rPr>
              <w:t>Abs</w:t>
            </w:r>
            <w:proofErr w:type="spellEnd"/>
            <w:r w:rsidRPr="000B038D">
              <w:rPr>
                <w:sz w:val="22"/>
                <w:szCs w:val="22"/>
                <w:lang w:val="ro-MD"/>
              </w:rPr>
              <w:t xml:space="preserve"> (PUN) x Al</w:t>
            </w:r>
          </w:p>
          <w:p w14:paraId="6C5A09D1" w14:textId="77777777" w:rsidR="008E7D19" w:rsidRPr="000B038D" w:rsidRDefault="008E7D19" w:rsidP="00D4221F">
            <w:pPr>
              <w:pStyle w:val="ListParagraph"/>
              <w:tabs>
                <w:tab w:val="left" w:pos="284"/>
              </w:tabs>
              <w:spacing w:after="0" w:line="240" w:lineRule="auto"/>
              <w:ind w:left="0"/>
              <w:rPr>
                <w:rFonts w:ascii="Times New Roman" w:hAnsi="Times New Roman"/>
                <w:lang w:val="ro-MD"/>
              </w:rPr>
            </w:pPr>
            <w:r w:rsidRPr="000B038D">
              <w:rPr>
                <w:rFonts w:ascii="Times New Roman" w:hAnsi="Times New Roman"/>
                <w:lang w:val="ro-MD"/>
              </w:rPr>
              <w:t>Unde:</w:t>
            </w:r>
          </w:p>
          <w:p w14:paraId="55378AC4" w14:textId="77777777" w:rsidR="008E7D19" w:rsidRPr="000B038D" w:rsidRDefault="008E7D19" w:rsidP="00D4221F">
            <w:pPr>
              <w:pStyle w:val="ListParagraph"/>
              <w:numPr>
                <w:ilvl w:val="1"/>
                <w:numId w:val="38"/>
              </w:numPr>
              <w:tabs>
                <w:tab w:val="left" w:pos="284"/>
                <w:tab w:val="left" w:pos="851"/>
              </w:tabs>
              <w:spacing w:after="0" w:line="240" w:lineRule="auto"/>
              <w:ind w:left="0" w:firstLine="0"/>
              <w:contextualSpacing w:val="0"/>
              <w:jc w:val="both"/>
              <w:rPr>
                <w:rFonts w:ascii="Times New Roman" w:hAnsi="Times New Roman"/>
                <w:lang w:val="ro-MD"/>
              </w:rPr>
            </w:pPr>
            <w:r w:rsidRPr="000B038D">
              <w:rPr>
                <w:rFonts w:ascii="Times New Roman" w:hAnsi="Times New Roman"/>
                <w:lang w:val="ro-MD"/>
              </w:rPr>
              <w:t>PUN: prețul unității de neutralitate pentru luna M, în MDL/kWh, calculat în conformitate cu Secțiunea 2.</w:t>
            </w:r>
          </w:p>
          <w:p w14:paraId="4ED35426" w14:textId="77777777" w:rsidR="008E7D19" w:rsidRPr="000B038D" w:rsidRDefault="008E7D19" w:rsidP="00D4221F">
            <w:pPr>
              <w:pStyle w:val="ListParagraph"/>
              <w:numPr>
                <w:ilvl w:val="1"/>
                <w:numId w:val="38"/>
              </w:numPr>
              <w:tabs>
                <w:tab w:val="left" w:pos="284"/>
                <w:tab w:val="left" w:pos="851"/>
              </w:tabs>
              <w:spacing w:after="0" w:line="240" w:lineRule="auto"/>
              <w:ind w:left="0" w:firstLine="0"/>
              <w:contextualSpacing w:val="0"/>
              <w:jc w:val="both"/>
              <w:rPr>
                <w:rFonts w:ascii="Times New Roman" w:hAnsi="Times New Roman"/>
                <w:lang w:val="ro-MD"/>
              </w:rPr>
            </w:pPr>
            <w:r w:rsidRPr="000B038D">
              <w:rPr>
                <w:rFonts w:ascii="Times New Roman" w:hAnsi="Times New Roman"/>
                <w:lang w:val="ro-MD"/>
              </w:rPr>
              <w:t xml:space="preserve">Al: Cantități de gaze naturale transportate pentru PRE prin sistemul de </w:t>
            </w:r>
            <w:r w:rsidRPr="000B038D">
              <w:rPr>
                <w:rFonts w:ascii="Times New Roman" w:hAnsi="Times New Roman"/>
                <w:lang w:val="ro-MD"/>
              </w:rPr>
              <w:lastRenderedPageBreak/>
              <w:t xml:space="preserve">transport în cursul lunii, în kWh, calculate ca sumă a cantităților alocate de PRE la punctele de intrare și la punctele de ieșire, neincluzând în calcul cantitățile alocate la punctul virtual de tranzacționare. </w:t>
            </w:r>
          </w:p>
          <w:p w14:paraId="229B8B63" w14:textId="4B59D7DB" w:rsidR="008E7D19" w:rsidRPr="00814548" w:rsidRDefault="008E7D19" w:rsidP="00814548">
            <w:pPr>
              <w:pStyle w:val="ListParagraph"/>
              <w:numPr>
                <w:ilvl w:val="1"/>
                <w:numId w:val="38"/>
              </w:numPr>
              <w:tabs>
                <w:tab w:val="left" w:pos="301"/>
              </w:tabs>
              <w:spacing w:after="0" w:line="240" w:lineRule="auto"/>
              <w:ind w:left="0" w:firstLine="0"/>
              <w:jc w:val="both"/>
              <w:rPr>
                <w:lang w:val="ro-MD"/>
              </w:rPr>
            </w:pPr>
            <w:r w:rsidRPr="00814548">
              <w:rPr>
                <w:rFonts w:ascii="Times New Roman" w:hAnsi="Times New Roman"/>
                <w:lang w:val="ro-MD"/>
              </w:rPr>
              <w:t xml:space="preserve">Termenul </w:t>
            </w:r>
            <w:proofErr w:type="spellStart"/>
            <w:r w:rsidRPr="00814548">
              <w:rPr>
                <w:rFonts w:ascii="Times New Roman" w:hAnsi="Times New Roman"/>
                <w:lang w:val="ro-MD"/>
              </w:rPr>
              <w:t>Abs</w:t>
            </w:r>
            <w:proofErr w:type="spellEnd"/>
            <w:r w:rsidRPr="00814548">
              <w:rPr>
                <w:rFonts w:ascii="Times New Roman" w:hAnsi="Times New Roman"/>
                <w:lang w:val="ro-MD"/>
              </w:rPr>
              <w:t xml:space="preserve"> () descrie valoarea absolută a funcției între paranteze</w:t>
            </w:r>
            <w:r w:rsidRPr="00814548">
              <w:rPr>
                <w:lang w:val="ro-MD"/>
              </w:rPr>
              <w:t>.</w:t>
            </w:r>
          </w:p>
        </w:tc>
        <w:tc>
          <w:tcPr>
            <w:tcW w:w="1719" w:type="pct"/>
            <w:shd w:val="clear" w:color="auto" w:fill="auto"/>
          </w:tcPr>
          <w:p w14:paraId="5D799CDC" w14:textId="77777777" w:rsidR="008E7D19" w:rsidRPr="000B038D" w:rsidRDefault="008E7D19" w:rsidP="00D4221F">
            <w:pPr>
              <w:tabs>
                <w:tab w:val="left" w:pos="124"/>
                <w:tab w:val="left" w:pos="265"/>
              </w:tabs>
              <w:jc w:val="both"/>
              <w:rPr>
                <w:rFonts w:asciiTheme="majorBidi" w:hAnsiTheme="majorBidi" w:cstheme="majorBidi"/>
                <w:color w:val="000000" w:themeColor="text1"/>
                <w:sz w:val="22"/>
                <w:szCs w:val="22"/>
              </w:rPr>
            </w:pPr>
            <w:proofErr w:type="spellStart"/>
            <w:r w:rsidRPr="000B038D">
              <w:rPr>
                <w:rFonts w:asciiTheme="majorBidi" w:hAnsiTheme="majorBidi" w:cstheme="majorBidi"/>
                <w:color w:val="000000" w:themeColor="text1"/>
                <w:sz w:val="22"/>
                <w:szCs w:val="22"/>
              </w:rPr>
              <w:lastRenderedPageBreak/>
              <w:t>Pct</w:t>
            </w:r>
            <w:proofErr w:type="spellEnd"/>
            <w:r w:rsidRPr="000B038D">
              <w:rPr>
                <w:rFonts w:asciiTheme="majorBidi" w:hAnsiTheme="majorBidi" w:cstheme="majorBidi"/>
                <w:color w:val="000000" w:themeColor="text1"/>
                <w:sz w:val="22"/>
                <w:szCs w:val="22"/>
              </w:rPr>
              <w:t>. 14:</w:t>
            </w:r>
          </w:p>
          <w:p w14:paraId="1D838734" w14:textId="77777777" w:rsidR="008E7D19" w:rsidRPr="000B038D" w:rsidRDefault="008E7D19" w:rsidP="00D4221F">
            <w:pPr>
              <w:pStyle w:val="ListParagraph"/>
              <w:numPr>
                <w:ilvl w:val="0"/>
                <w:numId w:val="30"/>
              </w:numPr>
              <w:tabs>
                <w:tab w:val="left" w:pos="124"/>
                <w:tab w:val="left" w:pos="265"/>
                <w:tab w:val="left" w:pos="709"/>
                <w:tab w:val="left" w:pos="1134"/>
              </w:tabs>
              <w:spacing w:after="0" w:line="240" w:lineRule="auto"/>
              <w:ind w:left="0" w:hanging="18"/>
              <w:jc w:val="both"/>
              <w:rPr>
                <w:rFonts w:asciiTheme="majorBidi" w:hAnsiTheme="majorBidi" w:cstheme="majorBidi"/>
                <w:color w:val="000000" w:themeColor="text1"/>
              </w:rPr>
            </w:pPr>
            <w:r w:rsidRPr="000B038D">
              <w:rPr>
                <w:rFonts w:asciiTheme="majorBidi" w:hAnsiTheme="majorBidi" w:cstheme="majorBidi"/>
                <w:color w:val="000000" w:themeColor="text1"/>
              </w:rPr>
              <w:t>textul formulei „</w:t>
            </w:r>
            <w:r w:rsidRPr="000B038D">
              <w:rPr>
                <w:rFonts w:asciiTheme="majorBidi" w:hAnsiTheme="majorBidi" w:cstheme="majorBidi"/>
                <w:i/>
                <w:color w:val="000000" w:themeColor="text1"/>
              </w:rPr>
              <w:t>PN=</w:t>
            </w:r>
            <w:proofErr w:type="spellStart"/>
            <w:r w:rsidRPr="000B038D">
              <w:rPr>
                <w:rFonts w:asciiTheme="majorBidi" w:hAnsiTheme="majorBidi" w:cstheme="majorBidi"/>
                <w:i/>
                <w:color w:val="000000" w:themeColor="text1"/>
              </w:rPr>
              <w:t>Abs</w:t>
            </w:r>
            <w:proofErr w:type="spellEnd"/>
            <w:r w:rsidRPr="000B038D">
              <w:rPr>
                <w:rFonts w:asciiTheme="majorBidi" w:hAnsiTheme="majorBidi" w:cstheme="majorBidi"/>
                <w:i/>
                <w:color w:val="000000" w:themeColor="text1"/>
              </w:rPr>
              <w:t>(PUN)</w:t>
            </w:r>
            <w:r w:rsidRPr="000B038D">
              <w:rPr>
                <w:rFonts w:asciiTheme="majorBidi" w:hAnsiTheme="majorBidi" w:cstheme="majorBidi"/>
                <w:i/>
              </w:rPr>
              <w:t>×Al</w:t>
            </w:r>
            <w:r w:rsidRPr="000B038D">
              <w:rPr>
                <w:rFonts w:asciiTheme="majorBidi" w:hAnsiTheme="majorBidi" w:cstheme="majorBidi"/>
              </w:rPr>
              <w:t>” se va substitui cu textul „</w:t>
            </w:r>
            <w:r w:rsidRPr="000B038D">
              <w:rPr>
                <w:rFonts w:asciiTheme="majorBidi" w:hAnsiTheme="majorBidi" w:cstheme="majorBidi"/>
                <w:i/>
                <w:color w:val="000000" w:themeColor="text1"/>
              </w:rPr>
              <w:t>PN=</w:t>
            </w:r>
            <w:proofErr w:type="spellStart"/>
            <w:r w:rsidRPr="000B038D">
              <w:rPr>
                <w:rFonts w:asciiTheme="majorBidi" w:hAnsiTheme="majorBidi" w:cstheme="majorBidi"/>
                <w:i/>
                <w:color w:val="000000" w:themeColor="text1"/>
              </w:rPr>
              <w:t>Abs</w:t>
            </w:r>
            <w:proofErr w:type="spellEnd"/>
            <w:r w:rsidRPr="000B038D">
              <w:rPr>
                <w:rFonts w:asciiTheme="majorBidi" w:hAnsiTheme="majorBidi" w:cstheme="majorBidi"/>
                <w:i/>
                <w:color w:val="000000" w:themeColor="text1"/>
              </w:rPr>
              <w:t>(TN)</w:t>
            </w:r>
            <w:r w:rsidRPr="000B038D">
              <w:rPr>
                <w:rFonts w:asciiTheme="majorBidi" w:hAnsiTheme="majorBidi" w:cstheme="majorBidi"/>
                <w:i/>
              </w:rPr>
              <w:t>×Al</w:t>
            </w:r>
            <w:r w:rsidRPr="000B038D">
              <w:rPr>
                <w:rFonts w:asciiTheme="majorBidi" w:hAnsiTheme="majorBidi" w:cstheme="majorBidi"/>
              </w:rPr>
              <w:t>”;</w:t>
            </w:r>
          </w:p>
          <w:p w14:paraId="59E6A337" w14:textId="77777777" w:rsidR="008E7D19" w:rsidRPr="000B038D" w:rsidRDefault="008E7D19" w:rsidP="00D4221F">
            <w:pPr>
              <w:pStyle w:val="ListParagraph"/>
              <w:numPr>
                <w:ilvl w:val="0"/>
                <w:numId w:val="30"/>
              </w:numPr>
              <w:tabs>
                <w:tab w:val="left" w:pos="124"/>
                <w:tab w:val="left" w:pos="265"/>
                <w:tab w:val="left" w:pos="709"/>
                <w:tab w:val="left" w:pos="1134"/>
              </w:tabs>
              <w:spacing w:after="0" w:line="240" w:lineRule="auto"/>
              <w:ind w:left="0" w:firstLine="0"/>
              <w:jc w:val="both"/>
              <w:rPr>
                <w:rFonts w:asciiTheme="majorBidi" w:hAnsiTheme="majorBidi" w:cstheme="majorBidi"/>
                <w:color w:val="000000" w:themeColor="text1"/>
              </w:rPr>
            </w:pPr>
            <w:r w:rsidRPr="000B038D">
              <w:rPr>
                <w:rFonts w:asciiTheme="majorBidi" w:hAnsiTheme="majorBidi" w:cstheme="majorBidi"/>
              </w:rPr>
              <w:t>lit. a. textul „</w:t>
            </w:r>
            <w:r w:rsidRPr="000B038D">
              <w:rPr>
                <w:rFonts w:asciiTheme="majorBidi" w:hAnsiTheme="majorBidi" w:cstheme="majorBidi"/>
                <w:i/>
              </w:rPr>
              <w:t>PUN: prețul unității de neutralitate</w:t>
            </w:r>
            <w:r w:rsidRPr="000B038D">
              <w:rPr>
                <w:rFonts w:asciiTheme="majorBidi" w:hAnsiTheme="majorBidi" w:cstheme="majorBidi"/>
              </w:rPr>
              <w:t>” se va expune în următoarea redacție „</w:t>
            </w:r>
            <w:r w:rsidRPr="000B038D">
              <w:rPr>
                <w:rFonts w:asciiTheme="majorBidi" w:hAnsiTheme="majorBidi" w:cstheme="majorBidi"/>
                <w:i/>
              </w:rPr>
              <w:t>TN: tariful de neutralitate</w:t>
            </w:r>
            <w:r w:rsidRPr="000B038D">
              <w:rPr>
                <w:rFonts w:asciiTheme="majorBidi" w:hAnsiTheme="majorBidi" w:cstheme="majorBidi"/>
              </w:rPr>
              <w:t>”, conform pct. 10 din prezentul proiect;</w:t>
            </w:r>
          </w:p>
          <w:p w14:paraId="443F0BE3" w14:textId="1B3BEE18" w:rsidR="008E7D19" w:rsidRPr="000B038D" w:rsidRDefault="008E7D19" w:rsidP="00D4221F">
            <w:pPr>
              <w:pStyle w:val="ListParagraph"/>
              <w:tabs>
                <w:tab w:val="left" w:pos="124"/>
                <w:tab w:val="left" w:pos="265"/>
              </w:tabs>
              <w:spacing w:after="0" w:line="240" w:lineRule="auto"/>
              <w:ind w:left="0"/>
              <w:jc w:val="both"/>
              <w:rPr>
                <w:rFonts w:asciiTheme="majorBidi" w:hAnsiTheme="majorBidi" w:cstheme="majorBidi"/>
                <w:color w:val="000000" w:themeColor="text1"/>
              </w:rPr>
            </w:pPr>
            <w:r w:rsidRPr="000B038D">
              <w:rPr>
                <w:rFonts w:asciiTheme="majorBidi" w:hAnsiTheme="majorBidi" w:cstheme="majorBidi"/>
              </w:rPr>
              <w:t xml:space="preserve">textul lit. b. de redactat, conform prevederilor pct. 123 și pct. 189 din </w:t>
            </w:r>
            <w:r w:rsidRPr="000B038D">
              <w:rPr>
                <w:rFonts w:asciiTheme="majorBidi" w:hAnsiTheme="majorBidi" w:cstheme="majorBidi"/>
                <w:color w:val="000000" w:themeColor="text1"/>
              </w:rPr>
              <w:t>Regulile pieței.</w:t>
            </w:r>
          </w:p>
        </w:tc>
        <w:tc>
          <w:tcPr>
            <w:cnfStyle w:val="000100000000" w:firstRow="0" w:lastRow="0" w:firstColumn="0" w:lastColumn="1" w:oddVBand="0" w:evenVBand="0" w:oddHBand="0" w:evenHBand="0" w:firstRowFirstColumn="0" w:firstRowLastColumn="0" w:lastRowFirstColumn="0" w:lastRowLastColumn="0"/>
            <w:tcW w:w="1042" w:type="pct"/>
            <w:vMerge w:val="restart"/>
            <w:shd w:val="clear" w:color="auto" w:fill="auto"/>
          </w:tcPr>
          <w:p w14:paraId="14B92BC7" w14:textId="77777777" w:rsidR="008E7D19" w:rsidRPr="00D7413C" w:rsidRDefault="008E7D19" w:rsidP="00D4221F">
            <w:pPr>
              <w:jc w:val="both"/>
              <w:rPr>
                <w:b w:val="0"/>
                <w:bCs w:val="0"/>
                <w:i/>
                <w:sz w:val="22"/>
                <w:szCs w:val="22"/>
                <w:lang w:val="ro-MD"/>
              </w:rPr>
            </w:pPr>
            <w:r w:rsidRPr="00650FFE">
              <w:rPr>
                <w:i/>
                <w:vertAlign w:val="subscript"/>
                <w:lang w:val="ro-RO"/>
              </w:rPr>
              <w:t xml:space="preserve"> </w:t>
            </w:r>
          </w:p>
          <w:p w14:paraId="20475EC1" w14:textId="77777777" w:rsidR="00B76738" w:rsidRDefault="008E7D19" w:rsidP="00C9439B">
            <w:pPr>
              <w:jc w:val="both"/>
              <w:rPr>
                <w:b w:val="0"/>
                <w:sz w:val="22"/>
                <w:szCs w:val="22"/>
                <w:lang w:val="ro-MD"/>
              </w:rPr>
            </w:pPr>
            <w:r w:rsidRPr="00C9439B">
              <w:rPr>
                <w:sz w:val="22"/>
                <w:szCs w:val="22"/>
                <w:lang w:val="ro-MD"/>
              </w:rPr>
              <w:t>Se acceptă</w:t>
            </w:r>
            <w:r>
              <w:rPr>
                <w:b w:val="0"/>
                <w:sz w:val="22"/>
                <w:szCs w:val="22"/>
                <w:lang w:val="ro-MD"/>
              </w:rPr>
              <w:t>:</w:t>
            </w:r>
          </w:p>
          <w:p w14:paraId="3AEC222A" w14:textId="77777777" w:rsidR="00F45DE1" w:rsidRPr="00B3091C" w:rsidRDefault="00F45DE1" w:rsidP="00F45DE1">
            <w:pPr>
              <w:jc w:val="both"/>
              <w:rPr>
                <w:b w:val="0"/>
                <w:sz w:val="22"/>
                <w:szCs w:val="22"/>
                <w:lang w:val="ro-MD"/>
              </w:rPr>
            </w:pPr>
            <w:r w:rsidRPr="00B3091C">
              <w:rPr>
                <w:b w:val="0"/>
                <w:sz w:val="22"/>
                <w:szCs w:val="22"/>
                <w:lang w:val="ro-MD"/>
              </w:rPr>
              <w:t xml:space="preserve">Formula s-a modificat </w:t>
            </w:r>
          </w:p>
          <w:p w14:paraId="41B7E2C6" w14:textId="06486BAC" w:rsidR="008E7D19" w:rsidRPr="00E64844" w:rsidRDefault="00F45DE1" w:rsidP="00F45DE1">
            <w:pPr>
              <w:pStyle w:val="ListParagraph"/>
              <w:tabs>
                <w:tab w:val="left" w:pos="284"/>
                <w:tab w:val="left" w:pos="851"/>
              </w:tabs>
              <w:spacing w:after="0" w:line="240" w:lineRule="auto"/>
              <w:ind w:left="0"/>
              <w:jc w:val="both"/>
              <w:rPr>
                <w:rFonts w:ascii="Times New Roman" w:hAnsi="Times New Roman"/>
                <w:i/>
                <w:lang w:val="ro-MD"/>
              </w:rPr>
            </w:pPr>
            <w:r w:rsidRPr="00B3091C">
              <w:rPr>
                <w:rFonts w:ascii="Times New Roman" w:hAnsi="Times New Roman"/>
                <w:i/>
              </w:rPr>
              <w:t>PN</w:t>
            </w:r>
            <w:r w:rsidRPr="00B3091C">
              <w:rPr>
                <w:rFonts w:ascii="Times New Roman" w:hAnsi="Times New Roman"/>
                <w:i/>
                <w:vertAlign w:val="subscript"/>
              </w:rPr>
              <w:t>PRE</w:t>
            </w:r>
            <w:r w:rsidRPr="00B3091C">
              <w:rPr>
                <w:rFonts w:ascii="Times New Roman" w:hAnsi="Times New Roman"/>
                <w:i/>
              </w:rPr>
              <w:t xml:space="preserve"> = RN</w:t>
            </w:r>
            <w:r w:rsidRPr="00B3091C">
              <w:rPr>
                <w:rFonts w:ascii="Times New Roman" w:hAnsi="Times New Roman"/>
                <w:i/>
                <w:vertAlign w:val="subscript"/>
              </w:rPr>
              <w:t>M</w:t>
            </w:r>
            <w:r w:rsidRPr="00B3091C">
              <w:rPr>
                <w:rFonts w:ascii="Times New Roman" w:hAnsi="Times New Roman"/>
                <w:i/>
              </w:rPr>
              <w:t xml:space="preserve"> </w:t>
            </w:r>
            <w:r w:rsidR="00E64844" w:rsidRPr="00B3091C">
              <w:rPr>
                <w:rFonts w:ascii="Arial" w:hAnsi="Arial" w:cs="Arial"/>
                <w:i/>
                <w:sz w:val="20"/>
                <w:szCs w:val="20"/>
              </w:rPr>
              <w:t>x</w:t>
            </w:r>
            <w:r w:rsidRPr="00B3091C">
              <w:rPr>
                <w:rFonts w:ascii="Times New Roman" w:hAnsi="Times New Roman"/>
                <w:i/>
              </w:rPr>
              <w:t xml:space="preserve"> Q</w:t>
            </w:r>
            <w:r w:rsidRPr="00B3091C">
              <w:rPr>
                <w:rFonts w:ascii="Times New Roman" w:hAnsi="Times New Roman"/>
                <w:i/>
                <w:vertAlign w:val="subscript"/>
              </w:rPr>
              <w:t>PRE</w:t>
            </w:r>
            <w:r w:rsidRPr="00E64844">
              <w:rPr>
                <w:rFonts w:ascii="Times New Roman" w:hAnsi="Times New Roman"/>
                <w:b w:val="0"/>
                <w:i/>
              </w:rPr>
              <w:t xml:space="preserve"> </w:t>
            </w:r>
            <w:r w:rsidRPr="00E64844">
              <w:rPr>
                <w:rFonts w:ascii="Times New Roman" w:hAnsi="Times New Roman"/>
              </w:rPr>
              <w:t xml:space="preserve">    </w:t>
            </w:r>
          </w:p>
        </w:tc>
      </w:tr>
      <w:tr w:rsidR="008E7D19" w:rsidRPr="00B3091C" w14:paraId="5BBF46DF" w14:textId="77777777" w:rsidTr="00B91CAA">
        <w:trPr>
          <w:trHeight w:val="841"/>
        </w:trPr>
        <w:tc>
          <w:tcPr>
            <w:tcW w:w="327" w:type="pct"/>
            <w:shd w:val="clear" w:color="auto" w:fill="auto"/>
            <w:vAlign w:val="center"/>
          </w:tcPr>
          <w:p w14:paraId="4269F92F" w14:textId="550C62EB" w:rsidR="008E7D19" w:rsidRPr="000B038D" w:rsidRDefault="008E7D19" w:rsidP="00D55C5B">
            <w:pPr>
              <w:jc w:val="center"/>
              <w:rPr>
                <w:sz w:val="22"/>
                <w:szCs w:val="22"/>
                <w:lang w:val="ro-RO"/>
              </w:rPr>
            </w:pPr>
            <w:r w:rsidRPr="000B038D">
              <w:rPr>
                <w:sz w:val="22"/>
                <w:szCs w:val="22"/>
                <w:lang w:val="ro-RO"/>
              </w:rPr>
              <w:t>Pct.</w:t>
            </w:r>
            <w:r>
              <w:rPr>
                <w:sz w:val="22"/>
                <w:szCs w:val="22"/>
                <w:lang w:val="ro-RO"/>
              </w:rPr>
              <w:t xml:space="preserve"> </w:t>
            </w:r>
            <w:r w:rsidRPr="000B038D">
              <w:rPr>
                <w:sz w:val="22"/>
                <w:szCs w:val="22"/>
                <w:lang w:val="ro-RO"/>
              </w:rPr>
              <w:t>14</w:t>
            </w:r>
          </w:p>
        </w:tc>
        <w:tc>
          <w:tcPr>
            <w:tcW w:w="602" w:type="pct"/>
            <w:vAlign w:val="center"/>
          </w:tcPr>
          <w:p w14:paraId="40B3BBAF" w14:textId="4FAF0972" w:rsidR="008E7D19" w:rsidRDefault="008E7D19" w:rsidP="00D55C5B">
            <w:pPr>
              <w:jc w:val="center"/>
              <w:rPr>
                <w:sz w:val="22"/>
                <w:szCs w:val="22"/>
                <w:lang w:val="en-GB"/>
              </w:rPr>
            </w:pPr>
            <w:r>
              <w:rPr>
                <w:sz w:val="22"/>
                <w:szCs w:val="22"/>
                <w:lang w:val="en-GB"/>
              </w:rPr>
              <w:t>„</w:t>
            </w:r>
            <w:proofErr w:type="spellStart"/>
            <w:r>
              <w:rPr>
                <w:sz w:val="22"/>
                <w:szCs w:val="22"/>
                <w:lang w:val="en-GB"/>
              </w:rPr>
              <w:t>Transautogaz</w:t>
            </w:r>
            <w:proofErr w:type="spellEnd"/>
            <w:r>
              <w:rPr>
                <w:sz w:val="22"/>
                <w:szCs w:val="22"/>
                <w:lang w:val="en-GB"/>
              </w:rPr>
              <w:t>” S.R.L.</w:t>
            </w:r>
          </w:p>
          <w:p w14:paraId="76895EA1" w14:textId="4A34026A" w:rsidR="008E7D19" w:rsidRPr="000B038D" w:rsidRDefault="008E7D19" w:rsidP="00D55C5B">
            <w:pPr>
              <w:jc w:val="center"/>
              <w:rPr>
                <w:sz w:val="22"/>
                <w:szCs w:val="22"/>
                <w:lang w:val="it-IT"/>
              </w:rPr>
            </w:pPr>
            <w:proofErr w:type="spellStart"/>
            <w:r>
              <w:rPr>
                <w:sz w:val="22"/>
                <w:szCs w:val="22"/>
                <w:lang w:val="en-GB"/>
              </w:rPr>
              <w:t>nr</w:t>
            </w:r>
            <w:proofErr w:type="spellEnd"/>
            <w:r>
              <w:rPr>
                <w:sz w:val="22"/>
                <w:szCs w:val="22"/>
                <w:lang w:val="en-GB"/>
              </w:rPr>
              <w:t>. 330 din 23 august 2024</w:t>
            </w:r>
          </w:p>
        </w:tc>
        <w:tc>
          <w:tcPr>
            <w:tcW w:w="1309" w:type="pct"/>
            <w:vMerge/>
          </w:tcPr>
          <w:p w14:paraId="0F004F89" w14:textId="77777777" w:rsidR="008E7D19" w:rsidRPr="000B038D" w:rsidRDefault="008E7D19" w:rsidP="00D55C5B">
            <w:pPr>
              <w:tabs>
                <w:tab w:val="left" w:pos="284"/>
                <w:tab w:val="left" w:pos="426"/>
              </w:tabs>
              <w:jc w:val="both"/>
              <w:rPr>
                <w:sz w:val="22"/>
                <w:szCs w:val="22"/>
                <w:lang w:val="ro-MD"/>
              </w:rPr>
            </w:pPr>
          </w:p>
        </w:tc>
        <w:tc>
          <w:tcPr>
            <w:tcW w:w="1719" w:type="pct"/>
            <w:shd w:val="clear" w:color="auto" w:fill="auto"/>
          </w:tcPr>
          <w:p w14:paraId="3DBC49C6" w14:textId="77777777" w:rsidR="008E7D19" w:rsidRDefault="008E7D19" w:rsidP="009A4183">
            <w:pPr>
              <w:pStyle w:val="ListParagraph"/>
              <w:tabs>
                <w:tab w:val="left" w:pos="265"/>
              </w:tabs>
              <w:spacing w:after="0" w:line="240" w:lineRule="auto"/>
              <w:ind w:left="0"/>
              <w:jc w:val="both"/>
              <w:rPr>
                <w:rFonts w:asciiTheme="majorBidi" w:hAnsiTheme="majorBidi" w:cstheme="majorBidi"/>
                <w:i/>
                <w:color w:val="000000" w:themeColor="text1"/>
              </w:rPr>
            </w:pPr>
            <w:r>
              <w:rPr>
                <w:rFonts w:asciiTheme="majorBidi" w:hAnsiTheme="majorBidi" w:cstheme="majorBidi"/>
                <w:color w:val="000000" w:themeColor="text1"/>
              </w:rPr>
              <w:t xml:space="preserve">În </w:t>
            </w:r>
            <w:r w:rsidRPr="00D76165">
              <w:rPr>
                <w:rFonts w:asciiTheme="majorBidi" w:hAnsiTheme="majorBidi" w:cstheme="majorBidi"/>
                <w:color w:val="000000" w:themeColor="text1"/>
              </w:rPr>
              <w:t>p</w:t>
            </w:r>
            <w:r>
              <w:rPr>
                <w:rFonts w:asciiTheme="majorBidi" w:hAnsiTheme="majorBidi" w:cstheme="majorBidi"/>
                <w:color w:val="000000" w:themeColor="text1"/>
              </w:rPr>
              <w:t>c</w:t>
            </w:r>
            <w:r w:rsidRPr="00D76165">
              <w:rPr>
                <w:rFonts w:asciiTheme="majorBidi" w:hAnsiTheme="majorBidi" w:cstheme="majorBidi"/>
                <w:color w:val="000000" w:themeColor="text1"/>
              </w:rPr>
              <w:t xml:space="preserve">t. 14 </w:t>
            </w:r>
            <w:r>
              <w:rPr>
                <w:rFonts w:asciiTheme="majorBidi" w:hAnsiTheme="majorBidi" w:cstheme="majorBidi"/>
                <w:color w:val="000000" w:themeColor="text1"/>
              </w:rPr>
              <w:t>„</w:t>
            </w:r>
            <w:r w:rsidRPr="00B754EC">
              <w:rPr>
                <w:rFonts w:asciiTheme="majorBidi" w:hAnsiTheme="majorBidi" w:cstheme="majorBidi"/>
                <w:i/>
                <w:color w:val="000000" w:themeColor="text1"/>
              </w:rPr>
              <w:t xml:space="preserve">OST va utiliza soldul contului de neutralitate la </w:t>
            </w:r>
            <w:proofErr w:type="spellStart"/>
            <w:r w:rsidRPr="00B754EC">
              <w:rPr>
                <w:rFonts w:asciiTheme="majorBidi" w:hAnsiTheme="majorBidi" w:cstheme="majorBidi"/>
                <w:i/>
                <w:color w:val="000000" w:themeColor="text1"/>
              </w:rPr>
              <w:t>sfärsitul</w:t>
            </w:r>
            <w:proofErr w:type="spellEnd"/>
            <w:r w:rsidRPr="00B754EC">
              <w:rPr>
                <w:rFonts w:asciiTheme="majorBidi" w:hAnsiTheme="majorBidi" w:cstheme="majorBidi"/>
                <w:i/>
                <w:color w:val="000000" w:themeColor="text1"/>
              </w:rPr>
              <w:t xml:space="preserve"> </w:t>
            </w:r>
            <w:proofErr w:type="spellStart"/>
            <w:r w:rsidRPr="00B754EC">
              <w:rPr>
                <w:rFonts w:asciiTheme="majorBidi" w:hAnsiTheme="majorBidi" w:cstheme="majorBidi"/>
                <w:i/>
                <w:color w:val="000000" w:themeColor="text1"/>
              </w:rPr>
              <w:t>fiecãrei</w:t>
            </w:r>
            <w:proofErr w:type="spellEnd"/>
            <w:r w:rsidRPr="00B754EC">
              <w:rPr>
                <w:rFonts w:asciiTheme="majorBidi" w:hAnsiTheme="majorBidi" w:cstheme="majorBidi"/>
                <w:i/>
                <w:color w:val="000000" w:themeColor="text1"/>
              </w:rPr>
              <w:t xml:space="preserve"> luni pentru a calcula tariful de neutralitate (TN)</w:t>
            </w:r>
            <w:r>
              <w:rPr>
                <w:rFonts w:asciiTheme="majorBidi" w:hAnsiTheme="majorBidi" w:cstheme="majorBidi"/>
                <w:i/>
                <w:color w:val="000000" w:themeColor="text1"/>
              </w:rPr>
              <w:t>”</w:t>
            </w:r>
          </w:p>
          <w:p w14:paraId="19F7F6CA" w14:textId="73464065" w:rsidR="008E7D19" w:rsidRPr="009A4183" w:rsidRDefault="008E7D19" w:rsidP="009A4183">
            <w:pPr>
              <w:tabs>
                <w:tab w:val="left" w:pos="124"/>
                <w:tab w:val="left" w:pos="265"/>
              </w:tabs>
              <w:jc w:val="both"/>
              <w:rPr>
                <w:rFonts w:asciiTheme="majorBidi" w:hAnsiTheme="majorBidi" w:cstheme="majorBidi"/>
                <w:color w:val="000000" w:themeColor="text1"/>
                <w:sz w:val="22"/>
                <w:szCs w:val="22"/>
                <w:lang w:val="en-US"/>
              </w:rPr>
            </w:pPr>
            <w:proofErr w:type="spellStart"/>
            <w:r w:rsidRPr="009A4183">
              <w:rPr>
                <w:rFonts w:asciiTheme="majorBidi" w:hAnsiTheme="majorBidi" w:cstheme="majorBidi"/>
                <w:color w:val="000000" w:themeColor="text1"/>
                <w:lang w:val="en-US"/>
              </w:rPr>
              <w:t>În</w:t>
            </w:r>
            <w:proofErr w:type="spellEnd"/>
            <w:r w:rsidRPr="009A4183">
              <w:rPr>
                <w:rFonts w:asciiTheme="majorBidi" w:hAnsiTheme="majorBidi" w:cstheme="majorBidi"/>
                <w:color w:val="000000" w:themeColor="text1"/>
                <w:lang w:val="en-US"/>
              </w:rPr>
              <w:t xml:space="preserve"> </w:t>
            </w:r>
            <w:proofErr w:type="spellStart"/>
            <w:r w:rsidRPr="00B91CAA">
              <w:rPr>
                <w:rFonts w:asciiTheme="majorBidi" w:hAnsiTheme="majorBidi" w:cstheme="majorBidi"/>
                <w:color w:val="000000" w:themeColor="text1"/>
                <w:lang w:val="en-US"/>
              </w:rPr>
              <w:t>Sectiunea</w:t>
            </w:r>
            <w:proofErr w:type="spellEnd"/>
            <w:r w:rsidRPr="00B91CAA">
              <w:rPr>
                <w:rFonts w:asciiTheme="majorBidi" w:hAnsiTheme="majorBidi" w:cstheme="majorBidi"/>
                <w:color w:val="000000" w:themeColor="text1"/>
                <w:lang w:val="en-US"/>
              </w:rPr>
              <w:t xml:space="preserve"> 3, pct. 14, in formula de </w:t>
            </w:r>
            <w:proofErr w:type="spellStart"/>
            <w:r w:rsidRPr="00B91CAA">
              <w:rPr>
                <w:rFonts w:asciiTheme="majorBidi" w:hAnsiTheme="majorBidi" w:cstheme="majorBidi"/>
                <w:color w:val="000000" w:themeColor="text1"/>
                <w:lang w:val="en-US"/>
              </w:rPr>
              <w:t>calcul</w:t>
            </w:r>
            <w:proofErr w:type="spellEnd"/>
            <w:r w:rsidRPr="00B91CAA">
              <w:rPr>
                <w:rFonts w:asciiTheme="majorBidi" w:hAnsiTheme="majorBidi" w:cstheme="majorBidi"/>
                <w:color w:val="000000" w:themeColor="text1"/>
                <w:lang w:val="en-US"/>
              </w:rPr>
              <w:t xml:space="preserve"> se introduce </w:t>
            </w:r>
            <w:proofErr w:type="spellStart"/>
            <w:r w:rsidRPr="00B91CAA">
              <w:rPr>
                <w:rFonts w:asciiTheme="majorBidi" w:hAnsiTheme="majorBidi" w:cstheme="majorBidi"/>
                <w:color w:val="000000" w:themeColor="text1"/>
                <w:lang w:val="en-US"/>
              </w:rPr>
              <w:t>termen</w:t>
            </w:r>
            <w:proofErr w:type="spellEnd"/>
            <w:r w:rsidRPr="00B91CAA">
              <w:rPr>
                <w:rFonts w:asciiTheme="majorBidi" w:hAnsiTheme="majorBidi" w:cstheme="majorBidi"/>
                <w:color w:val="000000" w:themeColor="text1"/>
                <w:lang w:val="en-US"/>
              </w:rPr>
              <w:t xml:space="preserve"> </w:t>
            </w:r>
            <w:proofErr w:type="spellStart"/>
            <w:r w:rsidRPr="00B91CAA">
              <w:rPr>
                <w:rFonts w:asciiTheme="majorBidi" w:hAnsiTheme="majorBidi" w:cstheme="majorBidi"/>
                <w:color w:val="000000" w:themeColor="text1"/>
                <w:lang w:val="en-US"/>
              </w:rPr>
              <w:t>nou</w:t>
            </w:r>
            <w:proofErr w:type="spellEnd"/>
            <w:r w:rsidRPr="00B91CAA">
              <w:rPr>
                <w:rFonts w:asciiTheme="majorBidi" w:hAnsiTheme="majorBidi" w:cstheme="majorBidi"/>
                <w:color w:val="000000" w:themeColor="text1"/>
                <w:lang w:val="en-US"/>
              </w:rPr>
              <w:t xml:space="preserve"> </w:t>
            </w:r>
            <w:proofErr w:type="spellStart"/>
            <w:r w:rsidRPr="00B91CAA">
              <w:rPr>
                <w:rFonts w:asciiTheme="majorBidi" w:hAnsiTheme="majorBidi" w:cstheme="majorBidi"/>
                <w:color w:val="000000" w:themeColor="text1"/>
                <w:lang w:val="en-US"/>
              </w:rPr>
              <w:t>prețul</w:t>
            </w:r>
            <w:proofErr w:type="spellEnd"/>
            <w:r w:rsidRPr="00B91CAA">
              <w:rPr>
                <w:rFonts w:asciiTheme="majorBidi" w:hAnsiTheme="majorBidi" w:cstheme="majorBidi"/>
                <w:color w:val="000000" w:themeColor="text1"/>
                <w:lang w:val="en-US"/>
              </w:rPr>
              <w:t xml:space="preserve"> </w:t>
            </w:r>
            <w:proofErr w:type="spellStart"/>
            <w:r w:rsidRPr="00B91CAA">
              <w:rPr>
                <w:rFonts w:asciiTheme="majorBidi" w:hAnsiTheme="majorBidi" w:cstheme="majorBidi"/>
                <w:color w:val="000000" w:themeColor="text1"/>
                <w:lang w:val="en-US"/>
              </w:rPr>
              <w:t>unitati</w:t>
            </w:r>
            <w:proofErr w:type="spellEnd"/>
            <w:r w:rsidRPr="00B91CAA">
              <w:rPr>
                <w:rFonts w:asciiTheme="majorBidi" w:hAnsiTheme="majorBidi" w:cstheme="majorBidi"/>
                <w:color w:val="000000" w:themeColor="text1"/>
                <w:lang w:val="en-US"/>
              </w:rPr>
              <w:t xml:space="preserve"> de </w:t>
            </w:r>
            <w:proofErr w:type="spellStart"/>
            <w:r w:rsidRPr="00B91CAA">
              <w:rPr>
                <w:rFonts w:asciiTheme="majorBidi" w:hAnsiTheme="majorBidi" w:cstheme="majorBidi"/>
                <w:color w:val="000000" w:themeColor="text1"/>
                <w:lang w:val="en-US"/>
              </w:rPr>
              <w:t>neutralitate</w:t>
            </w:r>
            <w:proofErr w:type="spellEnd"/>
            <w:r w:rsidRPr="00B91CAA">
              <w:rPr>
                <w:rFonts w:asciiTheme="majorBidi" w:hAnsiTheme="majorBidi" w:cstheme="majorBidi"/>
                <w:color w:val="000000" w:themeColor="text1"/>
                <w:lang w:val="en-US"/>
              </w:rPr>
              <w:t xml:space="preserve"> (PUN), </w:t>
            </w:r>
            <w:proofErr w:type="spellStart"/>
            <w:r w:rsidRPr="00B91CAA">
              <w:rPr>
                <w:rFonts w:asciiTheme="majorBidi" w:hAnsiTheme="majorBidi" w:cstheme="majorBidi"/>
                <w:color w:val="000000" w:themeColor="text1"/>
                <w:lang w:val="en-US"/>
              </w:rPr>
              <w:t>este</w:t>
            </w:r>
            <w:proofErr w:type="spellEnd"/>
            <w:r w:rsidRPr="00B91CAA">
              <w:rPr>
                <w:rFonts w:asciiTheme="majorBidi" w:hAnsiTheme="majorBidi" w:cstheme="majorBidi"/>
                <w:color w:val="000000" w:themeColor="text1"/>
                <w:lang w:val="en-US"/>
              </w:rPr>
              <w:t xml:space="preserve"> de </w:t>
            </w:r>
            <w:proofErr w:type="spellStart"/>
            <w:r w:rsidRPr="00B91CAA">
              <w:rPr>
                <w:rFonts w:asciiTheme="majorBidi" w:hAnsiTheme="majorBidi" w:cstheme="majorBidi"/>
                <w:color w:val="000000" w:themeColor="text1"/>
                <w:lang w:val="en-US"/>
              </w:rPr>
              <w:t>remarcat</w:t>
            </w:r>
            <w:proofErr w:type="spellEnd"/>
            <w:r w:rsidRPr="00B91CAA">
              <w:rPr>
                <w:rFonts w:asciiTheme="majorBidi" w:hAnsiTheme="majorBidi" w:cstheme="majorBidi"/>
                <w:color w:val="000000" w:themeColor="text1"/>
                <w:lang w:val="en-US"/>
              </w:rPr>
              <w:t xml:space="preserve"> </w:t>
            </w:r>
            <w:proofErr w:type="spellStart"/>
            <w:r w:rsidRPr="00B91CAA">
              <w:rPr>
                <w:rFonts w:asciiTheme="majorBidi" w:hAnsiTheme="majorBidi" w:cstheme="majorBidi"/>
                <w:color w:val="000000" w:themeColor="text1"/>
                <w:lang w:val="en-US"/>
              </w:rPr>
              <w:t>că</w:t>
            </w:r>
            <w:proofErr w:type="spellEnd"/>
            <w:r w:rsidRPr="00B91CAA">
              <w:rPr>
                <w:rFonts w:asciiTheme="majorBidi" w:hAnsiTheme="majorBidi" w:cstheme="majorBidi"/>
                <w:color w:val="000000" w:themeColor="text1"/>
                <w:lang w:val="en-US"/>
              </w:rPr>
              <w:t xml:space="preserve"> in </w:t>
            </w:r>
            <w:proofErr w:type="spellStart"/>
            <w:r w:rsidRPr="00B91CAA">
              <w:rPr>
                <w:rFonts w:asciiTheme="majorBidi" w:hAnsiTheme="majorBidi" w:cstheme="majorBidi"/>
                <w:color w:val="000000" w:themeColor="text1"/>
                <w:lang w:val="en-US"/>
              </w:rPr>
              <w:t>Sectiunea</w:t>
            </w:r>
            <w:proofErr w:type="spellEnd"/>
            <w:r w:rsidRPr="00B91CAA">
              <w:rPr>
                <w:rFonts w:asciiTheme="majorBidi" w:hAnsiTheme="majorBidi" w:cstheme="majorBidi"/>
                <w:color w:val="000000" w:themeColor="text1"/>
                <w:lang w:val="en-US"/>
              </w:rPr>
              <w:t xml:space="preserve"> 2 la care se </w:t>
            </w:r>
            <w:proofErr w:type="spellStart"/>
            <w:r w:rsidRPr="00B91CAA">
              <w:rPr>
                <w:rFonts w:asciiTheme="majorBidi" w:hAnsiTheme="majorBidi" w:cstheme="majorBidi"/>
                <w:color w:val="000000" w:themeColor="text1"/>
                <w:lang w:val="en-US"/>
              </w:rPr>
              <w:t>refera</w:t>
            </w:r>
            <w:proofErr w:type="spellEnd"/>
            <w:r w:rsidRPr="00B91CAA">
              <w:rPr>
                <w:rFonts w:asciiTheme="majorBidi" w:hAnsiTheme="majorBidi" w:cstheme="majorBidi"/>
                <w:color w:val="000000" w:themeColor="text1"/>
                <w:lang w:val="en-US"/>
              </w:rPr>
              <w:t xml:space="preserve"> </w:t>
            </w:r>
            <w:proofErr w:type="spellStart"/>
            <w:r w:rsidRPr="00B91CAA">
              <w:rPr>
                <w:rFonts w:asciiTheme="majorBidi" w:hAnsiTheme="majorBidi" w:cstheme="majorBidi"/>
                <w:color w:val="000000" w:themeColor="text1"/>
                <w:lang w:val="en-US"/>
              </w:rPr>
              <w:t>punctul</w:t>
            </w:r>
            <w:proofErr w:type="spellEnd"/>
            <w:r w:rsidRPr="00B91CAA">
              <w:rPr>
                <w:rFonts w:asciiTheme="majorBidi" w:hAnsiTheme="majorBidi" w:cstheme="majorBidi"/>
                <w:color w:val="000000" w:themeColor="text1"/>
                <w:lang w:val="en-US"/>
              </w:rPr>
              <w:t xml:space="preserve"> </w:t>
            </w:r>
            <w:proofErr w:type="spellStart"/>
            <w:r w:rsidRPr="00B91CAA">
              <w:rPr>
                <w:rFonts w:asciiTheme="majorBidi" w:hAnsiTheme="majorBidi" w:cstheme="majorBidi"/>
                <w:color w:val="000000" w:themeColor="text1"/>
                <w:lang w:val="en-US"/>
              </w:rPr>
              <w:t>dat</w:t>
            </w:r>
            <w:proofErr w:type="spellEnd"/>
            <w:r w:rsidRPr="00B91CAA">
              <w:rPr>
                <w:rFonts w:asciiTheme="majorBidi" w:hAnsiTheme="majorBidi" w:cstheme="majorBidi"/>
                <w:color w:val="000000" w:themeColor="text1"/>
                <w:lang w:val="en-US"/>
              </w:rPr>
              <w:t xml:space="preserve"> se </w:t>
            </w:r>
            <w:proofErr w:type="spellStart"/>
            <w:r w:rsidRPr="00B91CAA">
              <w:rPr>
                <w:rFonts w:asciiTheme="majorBidi" w:hAnsiTheme="majorBidi" w:cstheme="majorBidi"/>
                <w:color w:val="000000" w:themeColor="text1"/>
                <w:lang w:val="en-US"/>
              </w:rPr>
              <w:t>vorbeste</w:t>
            </w:r>
            <w:proofErr w:type="spellEnd"/>
            <w:r w:rsidRPr="00B91CAA">
              <w:rPr>
                <w:rFonts w:asciiTheme="majorBidi" w:hAnsiTheme="majorBidi" w:cstheme="majorBidi"/>
                <w:color w:val="000000" w:themeColor="text1"/>
                <w:lang w:val="en-US"/>
              </w:rPr>
              <w:t xml:space="preserve"> </w:t>
            </w:r>
            <w:proofErr w:type="spellStart"/>
            <w:r w:rsidRPr="00B91CAA">
              <w:rPr>
                <w:rFonts w:asciiTheme="majorBidi" w:hAnsiTheme="majorBidi" w:cstheme="majorBidi"/>
                <w:color w:val="000000" w:themeColor="text1"/>
                <w:lang w:val="en-US"/>
              </w:rPr>
              <w:t>despre</w:t>
            </w:r>
            <w:proofErr w:type="spellEnd"/>
            <w:r w:rsidRPr="00B91CAA">
              <w:rPr>
                <w:rFonts w:asciiTheme="majorBidi" w:hAnsiTheme="majorBidi" w:cstheme="majorBidi"/>
                <w:color w:val="000000" w:themeColor="text1"/>
                <w:lang w:val="en-US"/>
              </w:rPr>
              <w:t xml:space="preserve"> un alt </w:t>
            </w:r>
            <w:proofErr w:type="spellStart"/>
            <w:r w:rsidRPr="00B91CAA">
              <w:rPr>
                <w:rFonts w:asciiTheme="majorBidi" w:hAnsiTheme="majorBidi" w:cstheme="majorBidi"/>
                <w:color w:val="000000" w:themeColor="text1"/>
                <w:lang w:val="en-US"/>
              </w:rPr>
              <w:t>termen</w:t>
            </w:r>
            <w:proofErr w:type="spellEnd"/>
            <w:r w:rsidRPr="00B91CAA">
              <w:rPr>
                <w:rFonts w:asciiTheme="majorBidi" w:hAnsiTheme="majorBidi" w:cstheme="majorBidi"/>
                <w:color w:val="000000" w:themeColor="text1"/>
                <w:lang w:val="en-US"/>
              </w:rPr>
              <w:t xml:space="preserve"> - </w:t>
            </w:r>
            <w:proofErr w:type="spellStart"/>
            <w:r w:rsidRPr="00B91CAA">
              <w:rPr>
                <w:rFonts w:asciiTheme="majorBidi" w:hAnsiTheme="majorBidi" w:cstheme="majorBidi"/>
                <w:color w:val="000000" w:themeColor="text1"/>
                <w:lang w:val="en-US"/>
              </w:rPr>
              <w:t>tariful</w:t>
            </w:r>
            <w:proofErr w:type="spellEnd"/>
            <w:r w:rsidRPr="00B91CAA">
              <w:rPr>
                <w:rFonts w:asciiTheme="majorBidi" w:hAnsiTheme="majorBidi" w:cstheme="majorBidi"/>
                <w:color w:val="000000" w:themeColor="text1"/>
                <w:lang w:val="en-US"/>
              </w:rPr>
              <w:t xml:space="preserve"> de </w:t>
            </w:r>
            <w:proofErr w:type="spellStart"/>
            <w:r w:rsidRPr="00B91CAA">
              <w:rPr>
                <w:rFonts w:asciiTheme="majorBidi" w:hAnsiTheme="majorBidi" w:cstheme="majorBidi"/>
                <w:color w:val="000000" w:themeColor="text1"/>
                <w:lang w:val="en-US"/>
              </w:rPr>
              <w:t>neutralitate</w:t>
            </w:r>
            <w:proofErr w:type="spellEnd"/>
            <w:r w:rsidRPr="00B91CAA">
              <w:rPr>
                <w:rFonts w:asciiTheme="majorBidi" w:hAnsiTheme="majorBidi" w:cstheme="majorBidi"/>
                <w:color w:val="000000" w:themeColor="text1"/>
                <w:lang w:val="en-US"/>
              </w:rPr>
              <w:t xml:space="preserve"> (TN).</w:t>
            </w:r>
            <w:r w:rsidRPr="009A4183">
              <w:rPr>
                <w:rFonts w:asciiTheme="majorBidi" w:hAnsiTheme="majorBidi" w:cstheme="majorBidi"/>
                <w:color w:val="000000" w:themeColor="text1"/>
                <w:lang w:val="en-US"/>
              </w:rPr>
              <w:t xml:space="preserve"> Ca </w:t>
            </w:r>
            <w:proofErr w:type="spellStart"/>
            <w:r w:rsidRPr="009A4183">
              <w:rPr>
                <w:rFonts w:asciiTheme="majorBidi" w:hAnsiTheme="majorBidi" w:cstheme="majorBidi"/>
                <w:color w:val="000000" w:themeColor="text1"/>
                <w:lang w:val="en-US"/>
              </w:rPr>
              <w:t>urmare</w:t>
            </w:r>
            <w:proofErr w:type="spellEnd"/>
            <w:r w:rsidRPr="009A4183">
              <w:rPr>
                <w:rFonts w:asciiTheme="majorBidi" w:hAnsiTheme="majorBidi" w:cstheme="majorBidi"/>
                <w:color w:val="000000" w:themeColor="text1"/>
                <w:lang w:val="en-US"/>
              </w:rPr>
              <w:t xml:space="preserve">, </w:t>
            </w:r>
            <w:proofErr w:type="spellStart"/>
            <w:r w:rsidRPr="009A4183">
              <w:rPr>
                <w:rFonts w:asciiTheme="majorBidi" w:hAnsiTheme="majorBidi" w:cstheme="majorBidi"/>
                <w:color w:val="000000" w:themeColor="text1"/>
                <w:lang w:val="en-US"/>
              </w:rPr>
              <w:t>în</w:t>
            </w:r>
            <w:proofErr w:type="spellEnd"/>
            <w:r w:rsidRPr="009A4183">
              <w:rPr>
                <w:rFonts w:asciiTheme="majorBidi" w:hAnsiTheme="majorBidi" w:cstheme="majorBidi"/>
                <w:color w:val="000000" w:themeColor="text1"/>
                <w:lang w:val="en-US"/>
              </w:rPr>
              <w:t xml:space="preserve"> text </w:t>
            </w:r>
            <w:proofErr w:type="spellStart"/>
            <w:r w:rsidRPr="009A4183">
              <w:rPr>
                <w:rFonts w:asciiTheme="majorBidi" w:hAnsiTheme="majorBidi" w:cstheme="majorBidi"/>
                <w:color w:val="000000" w:themeColor="text1"/>
                <w:lang w:val="en-US"/>
              </w:rPr>
              <w:t>sunt</w:t>
            </w:r>
            <w:proofErr w:type="spellEnd"/>
            <w:r w:rsidRPr="009A4183">
              <w:rPr>
                <w:rFonts w:asciiTheme="majorBidi" w:hAnsiTheme="majorBidi" w:cstheme="majorBidi"/>
                <w:color w:val="000000" w:themeColor="text1"/>
                <w:lang w:val="en-US"/>
              </w:rPr>
              <w:t xml:space="preserve"> </w:t>
            </w:r>
            <w:proofErr w:type="spellStart"/>
            <w:r w:rsidRPr="009A4183">
              <w:rPr>
                <w:rFonts w:asciiTheme="majorBidi" w:hAnsiTheme="majorBidi" w:cstheme="majorBidi"/>
                <w:color w:val="000000" w:themeColor="text1"/>
                <w:lang w:val="en-US"/>
              </w:rPr>
              <w:lastRenderedPageBreak/>
              <w:t>introdusi</w:t>
            </w:r>
            <w:proofErr w:type="spellEnd"/>
            <w:r w:rsidRPr="009A4183">
              <w:rPr>
                <w:rFonts w:asciiTheme="majorBidi" w:hAnsiTheme="majorBidi" w:cstheme="majorBidi"/>
                <w:color w:val="000000" w:themeColor="text1"/>
                <w:lang w:val="en-US"/>
              </w:rPr>
              <w:t xml:space="preserve"> </w:t>
            </w:r>
            <w:proofErr w:type="spellStart"/>
            <w:r w:rsidRPr="009A4183">
              <w:rPr>
                <w:rFonts w:asciiTheme="majorBidi" w:hAnsiTheme="majorBidi" w:cstheme="majorBidi"/>
                <w:color w:val="000000" w:themeColor="text1"/>
                <w:lang w:val="en-US"/>
              </w:rPr>
              <w:t>doi</w:t>
            </w:r>
            <w:proofErr w:type="spellEnd"/>
            <w:r w:rsidRPr="009A4183">
              <w:rPr>
                <w:rFonts w:asciiTheme="majorBidi" w:hAnsiTheme="majorBidi" w:cstheme="majorBidi"/>
                <w:color w:val="000000" w:themeColor="text1"/>
                <w:lang w:val="en-US"/>
              </w:rPr>
              <w:t xml:space="preserve"> </w:t>
            </w:r>
            <w:proofErr w:type="spellStart"/>
            <w:r w:rsidRPr="009A4183">
              <w:rPr>
                <w:rFonts w:asciiTheme="majorBidi" w:hAnsiTheme="majorBidi" w:cstheme="majorBidi"/>
                <w:color w:val="000000" w:themeColor="text1"/>
                <w:lang w:val="en-US"/>
              </w:rPr>
              <w:t>termeni</w:t>
            </w:r>
            <w:proofErr w:type="spellEnd"/>
            <w:r w:rsidRPr="009A4183">
              <w:rPr>
                <w:rFonts w:asciiTheme="majorBidi" w:hAnsiTheme="majorBidi" w:cstheme="majorBidi"/>
                <w:color w:val="000000" w:themeColor="text1"/>
                <w:lang w:val="en-US"/>
              </w:rPr>
              <w:t xml:space="preserve"> cu </w:t>
            </w:r>
            <w:proofErr w:type="spellStart"/>
            <w:r w:rsidRPr="009A4183">
              <w:rPr>
                <w:rFonts w:asciiTheme="majorBidi" w:hAnsiTheme="majorBidi" w:cstheme="majorBidi"/>
                <w:color w:val="000000" w:themeColor="text1"/>
                <w:lang w:val="en-US"/>
              </w:rPr>
              <w:t>acelasi</w:t>
            </w:r>
            <w:proofErr w:type="spellEnd"/>
            <w:r w:rsidRPr="009A4183">
              <w:rPr>
                <w:rFonts w:asciiTheme="majorBidi" w:hAnsiTheme="majorBidi" w:cstheme="majorBidi"/>
                <w:color w:val="000000" w:themeColor="text1"/>
                <w:lang w:val="en-US"/>
              </w:rPr>
              <w:t xml:space="preserve"> </w:t>
            </w:r>
            <w:proofErr w:type="spellStart"/>
            <w:r w:rsidRPr="009A4183">
              <w:rPr>
                <w:rFonts w:asciiTheme="majorBidi" w:hAnsiTheme="majorBidi" w:cstheme="majorBidi"/>
                <w:color w:val="000000" w:themeColor="text1"/>
                <w:lang w:val="en-US"/>
              </w:rPr>
              <w:t>sens</w:t>
            </w:r>
            <w:proofErr w:type="spellEnd"/>
            <w:r w:rsidRPr="009A4183">
              <w:rPr>
                <w:rFonts w:asciiTheme="majorBidi" w:hAnsiTheme="majorBidi" w:cstheme="majorBidi"/>
                <w:color w:val="000000" w:themeColor="text1"/>
                <w:lang w:val="en-US"/>
              </w:rPr>
              <w:t xml:space="preserve">, </w:t>
            </w:r>
            <w:proofErr w:type="spellStart"/>
            <w:r w:rsidRPr="009A4183">
              <w:rPr>
                <w:rFonts w:asciiTheme="majorBidi" w:hAnsiTheme="majorBidi" w:cstheme="majorBidi"/>
                <w:color w:val="000000" w:themeColor="text1"/>
                <w:lang w:val="en-US"/>
              </w:rPr>
              <w:t>ceea</w:t>
            </w:r>
            <w:proofErr w:type="spellEnd"/>
            <w:r w:rsidRPr="009A4183">
              <w:rPr>
                <w:rFonts w:asciiTheme="majorBidi" w:hAnsiTheme="majorBidi" w:cstheme="majorBidi"/>
                <w:color w:val="000000" w:themeColor="text1"/>
                <w:lang w:val="en-US"/>
              </w:rPr>
              <w:t xml:space="preserve"> </w:t>
            </w:r>
            <w:proofErr w:type="spellStart"/>
            <w:r w:rsidRPr="009A4183">
              <w:rPr>
                <w:rFonts w:asciiTheme="majorBidi" w:hAnsiTheme="majorBidi" w:cstheme="majorBidi"/>
                <w:color w:val="000000" w:themeColor="text1"/>
                <w:lang w:val="en-US"/>
              </w:rPr>
              <w:t>ce</w:t>
            </w:r>
            <w:proofErr w:type="spellEnd"/>
            <w:r w:rsidRPr="009A4183">
              <w:rPr>
                <w:rFonts w:asciiTheme="majorBidi" w:hAnsiTheme="majorBidi" w:cstheme="majorBidi"/>
                <w:color w:val="000000" w:themeColor="text1"/>
                <w:lang w:val="en-US"/>
              </w:rPr>
              <w:t xml:space="preserve"> </w:t>
            </w:r>
            <w:proofErr w:type="spellStart"/>
            <w:r w:rsidRPr="009A4183">
              <w:rPr>
                <w:rFonts w:asciiTheme="majorBidi" w:hAnsiTheme="majorBidi" w:cstheme="majorBidi"/>
                <w:color w:val="000000" w:themeColor="text1"/>
                <w:lang w:val="en-US"/>
              </w:rPr>
              <w:t>creeaza</w:t>
            </w:r>
            <w:proofErr w:type="spellEnd"/>
            <w:r w:rsidRPr="009A4183">
              <w:rPr>
                <w:rFonts w:asciiTheme="majorBidi" w:hAnsiTheme="majorBidi" w:cstheme="majorBidi"/>
                <w:color w:val="000000" w:themeColor="text1"/>
                <w:lang w:val="en-US"/>
              </w:rPr>
              <w:t xml:space="preserve"> </w:t>
            </w:r>
            <w:proofErr w:type="spellStart"/>
            <w:r w:rsidRPr="009A4183">
              <w:rPr>
                <w:rFonts w:asciiTheme="majorBidi" w:hAnsiTheme="majorBidi" w:cstheme="majorBidi"/>
                <w:color w:val="000000" w:themeColor="text1"/>
                <w:lang w:val="en-US"/>
              </w:rPr>
              <w:t>neîntelegeri</w:t>
            </w:r>
            <w:proofErr w:type="spellEnd"/>
            <w:r w:rsidRPr="009A4183">
              <w:rPr>
                <w:rFonts w:asciiTheme="majorBidi" w:hAnsiTheme="majorBidi" w:cstheme="majorBidi"/>
                <w:color w:val="000000" w:themeColor="text1"/>
                <w:lang w:val="en-US"/>
              </w:rPr>
              <w:t>.</w:t>
            </w:r>
          </w:p>
        </w:tc>
        <w:tc>
          <w:tcPr>
            <w:cnfStyle w:val="000100000000" w:firstRow="0" w:lastRow="0" w:firstColumn="0" w:lastColumn="1" w:oddVBand="0" w:evenVBand="0" w:oddHBand="0" w:evenHBand="0" w:firstRowFirstColumn="0" w:firstRowLastColumn="0" w:lastRowFirstColumn="0" w:lastRowLastColumn="0"/>
            <w:tcW w:w="1042" w:type="pct"/>
            <w:vMerge/>
            <w:shd w:val="clear" w:color="auto" w:fill="auto"/>
          </w:tcPr>
          <w:p w14:paraId="58C369D0" w14:textId="50A2E85E" w:rsidR="008E7D19" w:rsidRPr="00C9439B" w:rsidRDefault="008E7D19" w:rsidP="00C9439B">
            <w:pPr>
              <w:pStyle w:val="ListParagraph"/>
              <w:tabs>
                <w:tab w:val="left" w:pos="284"/>
                <w:tab w:val="left" w:pos="851"/>
              </w:tabs>
              <w:spacing w:after="0" w:line="240" w:lineRule="auto"/>
              <w:ind w:left="0"/>
              <w:jc w:val="both"/>
              <w:rPr>
                <w:rFonts w:ascii="Times New Roman" w:hAnsi="Times New Roman"/>
                <w:b w:val="0"/>
              </w:rPr>
            </w:pPr>
          </w:p>
        </w:tc>
      </w:tr>
      <w:tr w:rsidR="00EB045F" w:rsidRPr="00B3091C" w14:paraId="72920375" w14:textId="77777777" w:rsidTr="006C7A87">
        <w:trPr>
          <w:trHeight w:val="841"/>
        </w:trPr>
        <w:tc>
          <w:tcPr>
            <w:tcW w:w="327" w:type="pct"/>
            <w:vAlign w:val="center"/>
          </w:tcPr>
          <w:p w14:paraId="1C6723B3" w14:textId="028DC68A" w:rsidR="00EB045F" w:rsidRPr="000B038D" w:rsidRDefault="00EB045F" w:rsidP="00D55C5B">
            <w:pPr>
              <w:jc w:val="center"/>
              <w:rPr>
                <w:sz w:val="22"/>
                <w:szCs w:val="22"/>
                <w:lang w:val="ro-RO"/>
              </w:rPr>
            </w:pPr>
            <w:r w:rsidRPr="000B038D">
              <w:rPr>
                <w:sz w:val="22"/>
                <w:szCs w:val="22"/>
                <w:lang w:val="ro-RO"/>
              </w:rPr>
              <w:lastRenderedPageBreak/>
              <w:t>Pct.</w:t>
            </w:r>
            <w:r>
              <w:rPr>
                <w:sz w:val="22"/>
                <w:szCs w:val="22"/>
                <w:lang w:val="ro-RO"/>
              </w:rPr>
              <w:t xml:space="preserve"> </w:t>
            </w:r>
            <w:r w:rsidRPr="000B038D">
              <w:rPr>
                <w:sz w:val="22"/>
                <w:szCs w:val="22"/>
                <w:lang w:val="ro-RO"/>
              </w:rPr>
              <w:t>15</w:t>
            </w:r>
          </w:p>
        </w:tc>
        <w:tc>
          <w:tcPr>
            <w:tcW w:w="602" w:type="pct"/>
            <w:vAlign w:val="center"/>
          </w:tcPr>
          <w:p w14:paraId="0A917F95" w14:textId="77777777" w:rsidR="00EB045F" w:rsidRPr="000B038D" w:rsidRDefault="00EB045F" w:rsidP="00D55C5B">
            <w:pPr>
              <w:jc w:val="center"/>
              <w:rPr>
                <w:b/>
                <w:bCs/>
                <w:sz w:val="22"/>
                <w:szCs w:val="22"/>
                <w:lang w:val="ro-RO"/>
              </w:rPr>
            </w:pPr>
            <w:r w:rsidRPr="000B038D">
              <w:rPr>
                <w:sz w:val="22"/>
                <w:szCs w:val="22"/>
                <w:lang w:val="it-IT"/>
              </w:rPr>
              <w:t xml:space="preserve">SA </w:t>
            </w:r>
            <w:r w:rsidRPr="000B038D">
              <w:rPr>
                <w:sz w:val="22"/>
                <w:szCs w:val="22"/>
                <w:lang w:val="ro-RO"/>
              </w:rPr>
              <w:t>„</w:t>
            </w:r>
            <w:proofErr w:type="spellStart"/>
            <w:r w:rsidRPr="000B038D">
              <w:rPr>
                <w:sz w:val="22"/>
                <w:szCs w:val="22"/>
                <w:lang w:val="it-IT"/>
              </w:rPr>
              <w:t>Moldovagaz</w:t>
            </w:r>
            <w:proofErr w:type="spellEnd"/>
            <w:r w:rsidRPr="000B038D">
              <w:rPr>
                <w:sz w:val="22"/>
                <w:szCs w:val="22"/>
                <w:lang w:val="ro-RO"/>
              </w:rPr>
              <w:t>”</w:t>
            </w:r>
          </w:p>
          <w:p w14:paraId="0AD8236A" w14:textId="77777777" w:rsidR="00EB045F" w:rsidRPr="000B038D" w:rsidRDefault="00EB045F" w:rsidP="00D55C5B">
            <w:pPr>
              <w:jc w:val="center"/>
              <w:rPr>
                <w:b/>
                <w:bCs/>
                <w:sz w:val="22"/>
                <w:szCs w:val="22"/>
                <w:lang w:val="it-IT"/>
              </w:rPr>
            </w:pPr>
            <w:r w:rsidRPr="000B038D">
              <w:rPr>
                <w:sz w:val="22"/>
                <w:szCs w:val="22"/>
                <w:lang w:val="ro-RO"/>
              </w:rPr>
              <w:t>nr. 02/2-2475 din 03.09.2024</w:t>
            </w:r>
          </w:p>
          <w:p w14:paraId="3BD14FA3" w14:textId="77777777" w:rsidR="00EB045F" w:rsidRPr="000B038D" w:rsidRDefault="00EB045F" w:rsidP="00D55C5B">
            <w:pPr>
              <w:jc w:val="center"/>
              <w:rPr>
                <w:sz w:val="22"/>
                <w:szCs w:val="22"/>
                <w:lang w:val="it-IT"/>
              </w:rPr>
            </w:pPr>
          </w:p>
        </w:tc>
        <w:tc>
          <w:tcPr>
            <w:tcW w:w="1309" w:type="pct"/>
          </w:tcPr>
          <w:p w14:paraId="67E8F03C" w14:textId="64EA5F86" w:rsidR="00EB045F" w:rsidRPr="000B038D" w:rsidRDefault="00EB045F" w:rsidP="00D55C5B">
            <w:pPr>
              <w:jc w:val="both"/>
              <w:rPr>
                <w:sz w:val="22"/>
                <w:szCs w:val="22"/>
                <w:lang w:val="ro-MD"/>
              </w:rPr>
            </w:pPr>
            <w:r w:rsidRPr="000B038D">
              <w:rPr>
                <w:sz w:val="22"/>
                <w:szCs w:val="22"/>
                <w:lang w:val="ro-MD"/>
              </w:rPr>
              <w:t>Decontarea plăți pentru neutralitate a PRE se realizează printr-o factură separată pentru plățile pentru neutralitate în fiecare lună, emisă de OST, dacă prețul unității de neutralitate, sau emisă de către PRE, dacă prețul unității de neutralitate este pozitiv, în conformitate cu prevederile contractului de echilibrare.</w:t>
            </w:r>
          </w:p>
        </w:tc>
        <w:tc>
          <w:tcPr>
            <w:tcW w:w="1719" w:type="pct"/>
            <w:shd w:val="clear" w:color="auto" w:fill="auto"/>
          </w:tcPr>
          <w:p w14:paraId="6E552DB2" w14:textId="171AED7C" w:rsidR="00EB045F" w:rsidRPr="00691D2D" w:rsidRDefault="00EB045F" w:rsidP="00D55C5B">
            <w:pPr>
              <w:tabs>
                <w:tab w:val="left" w:pos="124"/>
                <w:tab w:val="left" w:pos="265"/>
              </w:tabs>
              <w:jc w:val="both"/>
              <w:rPr>
                <w:rFonts w:asciiTheme="majorBidi" w:hAnsiTheme="majorBidi" w:cstheme="majorBidi"/>
                <w:color w:val="000000" w:themeColor="text1"/>
                <w:sz w:val="22"/>
                <w:szCs w:val="22"/>
                <w:lang w:val="en-US"/>
              </w:rPr>
            </w:pPr>
            <w:r w:rsidRPr="000B038D">
              <w:rPr>
                <w:color w:val="000000" w:themeColor="text1"/>
                <w:sz w:val="22"/>
                <w:szCs w:val="22"/>
                <w:lang w:val="ro-RO"/>
              </w:rPr>
              <w:t>Pct. 15 textul este necesar de redactat, nu este clar expusă procedura de decontare a plății pentru neutralitate.</w:t>
            </w:r>
          </w:p>
        </w:tc>
        <w:tc>
          <w:tcPr>
            <w:cnfStyle w:val="000100000000" w:firstRow="0" w:lastRow="0" w:firstColumn="0" w:lastColumn="1" w:oddVBand="0" w:evenVBand="0" w:oddHBand="0" w:evenHBand="0" w:firstRowFirstColumn="0" w:firstRowLastColumn="0" w:lastRowFirstColumn="0" w:lastRowLastColumn="0"/>
            <w:tcW w:w="1042" w:type="pct"/>
            <w:vMerge w:val="restart"/>
            <w:shd w:val="clear" w:color="auto" w:fill="auto"/>
          </w:tcPr>
          <w:p w14:paraId="17A59B79" w14:textId="7FBDE47F" w:rsidR="00EB045F" w:rsidRPr="00814548" w:rsidRDefault="00EB045F" w:rsidP="00D55C5B">
            <w:pPr>
              <w:jc w:val="both"/>
              <w:rPr>
                <w:sz w:val="22"/>
                <w:szCs w:val="22"/>
                <w:lang w:val="ro-MD"/>
              </w:rPr>
            </w:pPr>
            <w:r w:rsidRPr="00814548">
              <w:rPr>
                <w:sz w:val="22"/>
                <w:szCs w:val="22"/>
                <w:lang w:val="ro-MD"/>
              </w:rPr>
              <w:t>Se acceptă.</w:t>
            </w:r>
          </w:p>
          <w:p w14:paraId="73F4967D" w14:textId="77777777" w:rsidR="00F45DE1" w:rsidRPr="00A1271B" w:rsidRDefault="00F45DE1" w:rsidP="00F45DE1">
            <w:pPr>
              <w:jc w:val="both"/>
              <w:rPr>
                <w:b w:val="0"/>
                <w:bCs w:val="0"/>
                <w:i/>
                <w:sz w:val="22"/>
                <w:szCs w:val="22"/>
                <w:lang w:val="ro-MD"/>
              </w:rPr>
            </w:pPr>
            <w:r w:rsidRPr="00A1271B">
              <w:rPr>
                <w:b w:val="0"/>
                <w:bCs w:val="0"/>
                <w:i/>
                <w:sz w:val="22"/>
                <w:szCs w:val="22"/>
                <w:lang w:val="ro-MD"/>
              </w:rPr>
              <w:t>14. Decontarea plăților pentru neutralitate se realizează lunar în baza unei facturi separate în conformitate cu prevederile Contractului de echilibrare.</w:t>
            </w:r>
          </w:p>
          <w:p w14:paraId="54C70830" w14:textId="47251071" w:rsidR="00EB045F" w:rsidRPr="00F45DE1" w:rsidRDefault="00EB045F" w:rsidP="00EB045F">
            <w:pPr>
              <w:pStyle w:val="ListParagraph"/>
              <w:tabs>
                <w:tab w:val="left" w:pos="0"/>
                <w:tab w:val="left" w:pos="53"/>
                <w:tab w:val="left" w:pos="449"/>
              </w:tabs>
              <w:spacing w:after="0" w:line="240" w:lineRule="auto"/>
              <w:ind w:left="53"/>
              <w:jc w:val="both"/>
              <w:rPr>
                <w:rFonts w:ascii="Times New Roman" w:hAnsi="Times New Roman"/>
                <w:b w:val="0"/>
                <w:lang w:val="ro-MD"/>
              </w:rPr>
            </w:pPr>
          </w:p>
        </w:tc>
      </w:tr>
      <w:tr w:rsidR="00EB045F" w:rsidRPr="00B3091C" w14:paraId="60798E90" w14:textId="77777777" w:rsidTr="00814548">
        <w:trPr>
          <w:trHeight w:val="841"/>
        </w:trPr>
        <w:tc>
          <w:tcPr>
            <w:tcW w:w="327" w:type="pct"/>
            <w:shd w:val="clear" w:color="auto" w:fill="auto"/>
            <w:vAlign w:val="center"/>
          </w:tcPr>
          <w:p w14:paraId="0EC2FB01" w14:textId="29743F48" w:rsidR="00EB045F" w:rsidRPr="000B038D" w:rsidRDefault="00EB045F" w:rsidP="00A520A9">
            <w:pPr>
              <w:jc w:val="center"/>
              <w:rPr>
                <w:sz w:val="22"/>
                <w:szCs w:val="22"/>
                <w:lang w:val="ro-RO"/>
              </w:rPr>
            </w:pPr>
            <w:r w:rsidRPr="000B038D">
              <w:rPr>
                <w:sz w:val="22"/>
                <w:szCs w:val="22"/>
                <w:lang w:val="ro-RO"/>
              </w:rPr>
              <w:t>Pct.</w:t>
            </w:r>
            <w:r>
              <w:rPr>
                <w:sz w:val="22"/>
                <w:szCs w:val="22"/>
                <w:lang w:val="ro-RO"/>
              </w:rPr>
              <w:t xml:space="preserve"> </w:t>
            </w:r>
            <w:r w:rsidRPr="000B038D">
              <w:rPr>
                <w:sz w:val="22"/>
                <w:szCs w:val="22"/>
                <w:lang w:val="ro-RO"/>
              </w:rPr>
              <w:t>15</w:t>
            </w:r>
          </w:p>
        </w:tc>
        <w:tc>
          <w:tcPr>
            <w:tcW w:w="602" w:type="pct"/>
            <w:vAlign w:val="center"/>
          </w:tcPr>
          <w:p w14:paraId="5436E5CD" w14:textId="39C04052" w:rsidR="00EB045F" w:rsidRDefault="00EB045F" w:rsidP="00A520A9">
            <w:pPr>
              <w:jc w:val="center"/>
              <w:rPr>
                <w:sz w:val="22"/>
                <w:szCs w:val="22"/>
                <w:lang w:val="en-GB"/>
              </w:rPr>
            </w:pPr>
            <w:r>
              <w:rPr>
                <w:sz w:val="22"/>
                <w:szCs w:val="22"/>
                <w:lang w:val="en-GB"/>
              </w:rPr>
              <w:t>„</w:t>
            </w:r>
            <w:proofErr w:type="spellStart"/>
            <w:r>
              <w:rPr>
                <w:sz w:val="22"/>
                <w:szCs w:val="22"/>
                <w:lang w:val="en-GB"/>
              </w:rPr>
              <w:t>Transautogaz</w:t>
            </w:r>
            <w:proofErr w:type="spellEnd"/>
            <w:r>
              <w:rPr>
                <w:sz w:val="22"/>
                <w:szCs w:val="22"/>
                <w:lang w:val="en-GB"/>
              </w:rPr>
              <w:t>” S.R.L.</w:t>
            </w:r>
          </w:p>
          <w:p w14:paraId="692420AA" w14:textId="591ACA0E" w:rsidR="00EB045F" w:rsidRPr="000B038D" w:rsidRDefault="00EB045F" w:rsidP="00A520A9">
            <w:pPr>
              <w:jc w:val="center"/>
              <w:rPr>
                <w:sz w:val="22"/>
                <w:szCs w:val="22"/>
                <w:lang w:val="it-IT"/>
              </w:rPr>
            </w:pPr>
            <w:proofErr w:type="spellStart"/>
            <w:r>
              <w:rPr>
                <w:sz w:val="22"/>
                <w:szCs w:val="22"/>
                <w:lang w:val="en-GB"/>
              </w:rPr>
              <w:t>nr</w:t>
            </w:r>
            <w:proofErr w:type="spellEnd"/>
            <w:r>
              <w:rPr>
                <w:sz w:val="22"/>
                <w:szCs w:val="22"/>
                <w:lang w:val="en-GB"/>
              </w:rPr>
              <w:t>. 330 din 23 august 2024</w:t>
            </w:r>
          </w:p>
        </w:tc>
        <w:tc>
          <w:tcPr>
            <w:tcW w:w="1309" w:type="pct"/>
          </w:tcPr>
          <w:p w14:paraId="2A0608A7" w14:textId="73C65A18" w:rsidR="00EB045F" w:rsidRPr="000B038D" w:rsidRDefault="00EB045F" w:rsidP="00A520A9">
            <w:pPr>
              <w:jc w:val="both"/>
              <w:rPr>
                <w:sz w:val="22"/>
                <w:szCs w:val="22"/>
                <w:lang w:val="ro-MD"/>
              </w:rPr>
            </w:pPr>
            <w:r w:rsidRPr="009D09A4">
              <w:rPr>
                <w:sz w:val="22"/>
                <w:szCs w:val="22"/>
                <w:lang w:val="ro-MD"/>
              </w:rPr>
              <w:t>15.</w:t>
            </w:r>
            <w:r w:rsidRPr="009D09A4">
              <w:rPr>
                <w:sz w:val="22"/>
                <w:szCs w:val="22"/>
                <w:lang w:val="ro-MD"/>
              </w:rPr>
              <w:tab/>
              <w:t>Decontarea</w:t>
            </w:r>
            <w:r>
              <w:rPr>
                <w:lang w:val="en-US"/>
              </w:rPr>
              <w:t xml:space="preserve"> </w:t>
            </w:r>
            <w:r w:rsidRPr="009D09A4">
              <w:rPr>
                <w:sz w:val="22"/>
                <w:szCs w:val="22"/>
                <w:lang w:val="ro-MD"/>
              </w:rPr>
              <w:t>plăți pentru neutralitate a PRE se realizează printr-o factură separată pentru plățile pentru neutralitate în fiecare lună, emisă de OST, dacă prețul unității de neutralitate, sau emisă de către PRE, dacă prețul unității de neutralitate este pozitiv, în conformitate cu prevederile contractului de echilibrare.</w:t>
            </w:r>
          </w:p>
        </w:tc>
        <w:tc>
          <w:tcPr>
            <w:tcW w:w="1719" w:type="pct"/>
            <w:shd w:val="clear" w:color="auto" w:fill="auto"/>
          </w:tcPr>
          <w:p w14:paraId="4486C1EA" w14:textId="264AF77F" w:rsidR="00EB045F" w:rsidRPr="000B038D" w:rsidRDefault="00EB045F" w:rsidP="00A520A9">
            <w:pPr>
              <w:tabs>
                <w:tab w:val="left" w:pos="124"/>
                <w:tab w:val="left" w:pos="265"/>
              </w:tabs>
              <w:jc w:val="both"/>
              <w:rPr>
                <w:color w:val="000000" w:themeColor="text1"/>
                <w:sz w:val="22"/>
                <w:szCs w:val="22"/>
                <w:lang w:val="ro-RO"/>
              </w:rPr>
            </w:pPr>
            <w:r>
              <w:rPr>
                <w:color w:val="000000" w:themeColor="text1"/>
                <w:sz w:val="22"/>
                <w:szCs w:val="22"/>
                <w:lang w:val="ro-RO"/>
              </w:rPr>
              <w:t>Pc</w:t>
            </w:r>
            <w:r w:rsidRPr="00D76165">
              <w:rPr>
                <w:color w:val="000000" w:themeColor="text1"/>
                <w:sz w:val="22"/>
                <w:szCs w:val="22"/>
                <w:lang w:val="ro-RO"/>
              </w:rPr>
              <w:t xml:space="preserve">t. 15, </w:t>
            </w:r>
            <w:proofErr w:type="spellStart"/>
            <w:r w:rsidRPr="00D76165">
              <w:rPr>
                <w:color w:val="000000" w:themeColor="text1"/>
                <w:sz w:val="22"/>
                <w:szCs w:val="22"/>
                <w:lang w:val="ro-RO"/>
              </w:rPr>
              <w:t>dupã</w:t>
            </w:r>
            <w:proofErr w:type="spellEnd"/>
            <w:r w:rsidRPr="00D76165">
              <w:rPr>
                <w:color w:val="000000" w:themeColor="text1"/>
                <w:sz w:val="22"/>
                <w:szCs w:val="22"/>
                <w:lang w:val="ro-RO"/>
              </w:rPr>
              <w:t xml:space="preserve"> </w:t>
            </w:r>
            <w:proofErr w:type="spellStart"/>
            <w:r w:rsidRPr="00D76165">
              <w:rPr>
                <w:color w:val="000000" w:themeColor="text1"/>
                <w:sz w:val="22"/>
                <w:szCs w:val="22"/>
                <w:lang w:val="ro-RO"/>
              </w:rPr>
              <w:t>parerea</w:t>
            </w:r>
            <w:proofErr w:type="spellEnd"/>
            <w:r w:rsidRPr="00D76165">
              <w:rPr>
                <w:color w:val="000000" w:themeColor="text1"/>
                <w:sz w:val="22"/>
                <w:szCs w:val="22"/>
                <w:lang w:val="ro-RO"/>
              </w:rPr>
              <w:t xml:space="preserve"> </w:t>
            </w:r>
            <w:proofErr w:type="spellStart"/>
            <w:r w:rsidRPr="00D76165">
              <w:rPr>
                <w:color w:val="000000" w:themeColor="text1"/>
                <w:sz w:val="22"/>
                <w:szCs w:val="22"/>
                <w:lang w:val="ro-RO"/>
              </w:rPr>
              <w:t>noastra</w:t>
            </w:r>
            <w:proofErr w:type="spellEnd"/>
            <w:r w:rsidRPr="00D76165">
              <w:rPr>
                <w:color w:val="000000" w:themeColor="text1"/>
                <w:sz w:val="22"/>
                <w:szCs w:val="22"/>
                <w:lang w:val="ro-RO"/>
              </w:rPr>
              <w:t xml:space="preserve">, </w:t>
            </w:r>
            <w:proofErr w:type="spellStart"/>
            <w:r w:rsidRPr="00D76165">
              <w:rPr>
                <w:color w:val="000000" w:themeColor="text1"/>
                <w:sz w:val="22"/>
                <w:szCs w:val="22"/>
                <w:lang w:val="ro-RO"/>
              </w:rPr>
              <w:t>dupã</w:t>
            </w:r>
            <w:proofErr w:type="spellEnd"/>
            <w:r w:rsidRPr="00D76165">
              <w:rPr>
                <w:color w:val="000000" w:themeColor="text1"/>
                <w:sz w:val="22"/>
                <w:szCs w:val="22"/>
                <w:lang w:val="ro-RO"/>
              </w:rPr>
              <w:t xml:space="preserve"> cuvintele</w:t>
            </w:r>
            <w:r>
              <w:rPr>
                <w:color w:val="000000" w:themeColor="text1"/>
                <w:sz w:val="22"/>
                <w:szCs w:val="22"/>
                <w:lang w:val="ro-RO"/>
              </w:rPr>
              <w:t xml:space="preserve"> ”...</w:t>
            </w:r>
            <w:proofErr w:type="spellStart"/>
            <w:r w:rsidRPr="00D76165">
              <w:rPr>
                <w:i/>
                <w:color w:val="000000" w:themeColor="text1"/>
                <w:sz w:val="22"/>
                <w:szCs w:val="22"/>
                <w:lang w:val="ro-RO"/>
              </w:rPr>
              <w:t>dacã</w:t>
            </w:r>
            <w:proofErr w:type="spellEnd"/>
            <w:r w:rsidRPr="00D76165">
              <w:rPr>
                <w:i/>
                <w:color w:val="000000" w:themeColor="text1"/>
                <w:sz w:val="22"/>
                <w:szCs w:val="22"/>
                <w:lang w:val="ro-RO"/>
              </w:rPr>
              <w:t xml:space="preserve"> prețul </w:t>
            </w:r>
            <w:proofErr w:type="spellStart"/>
            <w:r w:rsidRPr="00D76165">
              <w:rPr>
                <w:i/>
                <w:color w:val="000000" w:themeColor="text1"/>
                <w:sz w:val="22"/>
                <w:szCs w:val="22"/>
                <w:lang w:val="ro-RO"/>
              </w:rPr>
              <w:t>unitatii</w:t>
            </w:r>
            <w:proofErr w:type="spellEnd"/>
            <w:r w:rsidRPr="00D76165">
              <w:rPr>
                <w:i/>
                <w:color w:val="000000" w:themeColor="text1"/>
                <w:sz w:val="22"/>
                <w:szCs w:val="22"/>
                <w:lang w:val="ro-RO"/>
              </w:rPr>
              <w:t xml:space="preserve"> de neutralitate...</w:t>
            </w:r>
            <w:r>
              <w:rPr>
                <w:color w:val="000000" w:themeColor="text1"/>
                <w:sz w:val="22"/>
                <w:szCs w:val="22"/>
                <w:lang w:val="ro-RO"/>
              </w:rPr>
              <w:t>”</w:t>
            </w:r>
            <w:r w:rsidRPr="00D76165">
              <w:rPr>
                <w:color w:val="000000" w:themeColor="text1"/>
                <w:sz w:val="22"/>
                <w:szCs w:val="22"/>
                <w:lang w:val="ro-RO"/>
              </w:rPr>
              <w:t xml:space="preserve"> ar trebui </w:t>
            </w:r>
            <w:proofErr w:type="spellStart"/>
            <w:r w:rsidRPr="00D76165">
              <w:rPr>
                <w:color w:val="000000" w:themeColor="text1"/>
                <w:sz w:val="22"/>
                <w:szCs w:val="22"/>
                <w:lang w:val="ro-RO"/>
              </w:rPr>
              <w:t>sã</w:t>
            </w:r>
            <w:proofErr w:type="spellEnd"/>
            <w:r w:rsidRPr="00D76165">
              <w:rPr>
                <w:color w:val="000000" w:themeColor="text1"/>
                <w:sz w:val="22"/>
                <w:szCs w:val="22"/>
                <w:lang w:val="ro-RO"/>
              </w:rPr>
              <w:t xml:space="preserve"> fie sintagma </w:t>
            </w:r>
            <w:r>
              <w:rPr>
                <w:color w:val="000000" w:themeColor="text1"/>
                <w:sz w:val="22"/>
                <w:szCs w:val="22"/>
                <w:lang w:val="ro-RO"/>
              </w:rPr>
              <w:t>„</w:t>
            </w:r>
            <w:r w:rsidRPr="00D76165">
              <w:rPr>
                <w:color w:val="000000" w:themeColor="text1"/>
                <w:sz w:val="22"/>
                <w:szCs w:val="22"/>
                <w:lang w:val="ro-RO"/>
              </w:rPr>
              <w:t>este negativ</w:t>
            </w:r>
            <w:r>
              <w:rPr>
                <w:color w:val="000000" w:themeColor="text1"/>
                <w:sz w:val="22"/>
                <w:szCs w:val="22"/>
                <w:lang w:val="ro-RO"/>
              </w:rPr>
              <w:t>”</w:t>
            </w:r>
            <w:r w:rsidRPr="00D76165">
              <w:rPr>
                <w:color w:val="000000" w:themeColor="text1"/>
                <w:sz w:val="22"/>
                <w:szCs w:val="22"/>
                <w:lang w:val="ro-RO"/>
              </w:rPr>
              <w:t>.</w:t>
            </w:r>
          </w:p>
        </w:tc>
        <w:tc>
          <w:tcPr>
            <w:cnfStyle w:val="000100000000" w:firstRow="0" w:lastRow="0" w:firstColumn="0" w:lastColumn="1" w:oddVBand="0" w:evenVBand="0" w:oddHBand="0" w:evenHBand="0" w:firstRowFirstColumn="0" w:firstRowLastColumn="0" w:lastRowFirstColumn="0" w:lastRowLastColumn="0"/>
            <w:tcW w:w="1042" w:type="pct"/>
            <w:vMerge/>
            <w:shd w:val="clear" w:color="auto" w:fill="FFFF00"/>
          </w:tcPr>
          <w:p w14:paraId="00CA0049" w14:textId="77777777" w:rsidR="00EB045F" w:rsidRPr="00EA61BD" w:rsidRDefault="00EB045F" w:rsidP="00A520A9">
            <w:pPr>
              <w:jc w:val="both"/>
              <w:rPr>
                <w:sz w:val="22"/>
                <w:szCs w:val="22"/>
                <w:lang w:val="ro-MD"/>
              </w:rPr>
            </w:pPr>
          </w:p>
        </w:tc>
      </w:tr>
      <w:tr w:rsidR="00A520A9" w:rsidRPr="00B3091C" w14:paraId="7555A32B" w14:textId="77777777" w:rsidTr="00EB045F">
        <w:trPr>
          <w:trHeight w:val="841"/>
        </w:trPr>
        <w:tc>
          <w:tcPr>
            <w:tcW w:w="327" w:type="pct"/>
            <w:shd w:val="clear" w:color="auto" w:fill="auto"/>
            <w:vAlign w:val="center"/>
          </w:tcPr>
          <w:p w14:paraId="7E14A026" w14:textId="05303A5D" w:rsidR="00A520A9" w:rsidRPr="000B038D" w:rsidRDefault="00A520A9" w:rsidP="00A520A9">
            <w:pPr>
              <w:jc w:val="center"/>
              <w:rPr>
                <w:sz w:val="22"/>
                <w:szCs w:val="22"/>
                <w:lang w:val="ro-RO"/>
              </w:rPr>
            </w:pPr>
            <w:r>
              <w:rPr>
                <w:sz w:val="22"/>
                <w:szCs w:val="22"/>
                <w:lang w:val="ro-RO"/>
              </w:rPr>
              <w:t>Pct. 18</w:t>
            </w:r>
          </w:p>
        </w:tc>
        <w:tc>
          <w:tcPr>
            <w:tcW w:w="602" w:type="pct"/>
            <w:vAlign w:val="center"/>
          </w:tcPr>
          <w:p w14:paraId="263BB291" w14:textId="29379A7F" w:rsidR="00A520A9" w:rsidRDefault="00814548" w:rsidP="00A520A9">
            <w:pPr>
              <w:jc w:val="center"/>
              <w:rPr>
                <w:sz w:val="22"/>
                <w:szCs w:val="22"/>
                <w:lang w:val="en-GB"/>
              </w:rPr>
            </w:pPr>
            <w:r>
              <w:rPr>
                <w:sz w:val="22"/>
                <w:szCs w:val="22"/>
                <w:lang w:val="en-GB"/>
              </w:rPr>
              <w:t>„</w:t>
            </w:r>
            <w:proofErr w:type="spellStart"/>
            <w:r w:rsidR="00A520A9">
              <w:rPr>
                <w:sz w:val="22"/>
                <w:szCs w:val="22"/>
                <w:lang w:val="en-GB"/>
              </w:rPr>
              <w:t>Transautogaz</w:t>
            </w:r>
            <w:proofErr w:type="spellEnd"/>
            <w:r>
              <w:rPr>
                <w:sz w:val="22"/>
                <w:szCs w:val="22"/>
                <w:lang w:val="en-GB"/>
              </w:rPr>
              <w:t>”</w:t>
            </w:r>
            <w:r w:rsidR="00A520A9">
              <w:rPr>
                <w:sz w:val="22"/>
                <w:szCs w:val="22"/>
                <w:lang w:val="en-GB"/>
              </w:rPr>
              <w:t xml:space="preserve"> S.R.L.</w:t>
            </w:r>
          </w:p>
          <w:p w14:paraId="7850C591" w14:textId="5B3E21AB" w:rsidR="00A520A9" w:rsidRDefault="00A520A9" w:rsidP="00A520A9">
            <w:pPr>
              <w:jc w:val="center"/>
              <w:rPr>
                <w:sz w:val="22"/>
                <w:szCs w:val="22"/>
                <w:lang w:val="en-GB"/>
              </w:rPr>
            </w:pPr>
            <w:proofErr w:type="spellStart"/>
            <w:r>
              <w:rPr>
                <w:sz w:val="22"/>
                <w:szCs w:val="22"/>
                <w:lang w:val="en-GB"/>
              </w:rPr>
              <w:t>nr</w:t>
            </w:r>
            <w:proofErr w:type="spellEnd"/>
            <w:r>
              <w:rPr>
                <w:sz w:val="22"/>
                <w:szCs w:val="22"/>
                <w:lang w:val="en-GB"/>
              </w:rPr>
              <w:t>. 330 din 23 august 2024</w:t>
            </w:r>
          </w:p>
        </w:tc>
        <w:tc>
          <w:tcPr>
            <w:tcW w:w="1309" w:type="pct"/>
          </w:tcPr>
          <w:p w14:paraId="4DB83DF1" w14:textId="799E716A" w:rsidR="00A520A9" w:rsidRPr="009D09A4" w:rsidRDefault="00A520A9" w:rsidP="00A520A9">
            <w:pPr>
              <w:jc w:val="both"/>
              <w:rPr>
                <w:sz w:val="22"/>
                <w:szCs w:val="22"/>
                <w:lang w:val="ro-MD"/>
              </w:rPr>
            </w:pPr>
            <w:r w:rsidRPr="009D09A4">
              <w:rPr>
                <w:sz w:val="22"/>
                <w:szCs w:val="22"/>
                <w:lang w:val="ro-MD"/>
              </w:rPr>
              <w:t>18.</w:t>
            </w:r>
            <w:r w:rsidRPr="009D09A4">
              <w:rPr>
                <w:sz w:val="22"/>
                <w:szCs w:val="22"/>
                <w:lang w:val="ro-MD"/>
              </w:rPr>
              <w:tab/>
              <w:t>OST publică lunar, informații privind calculul soldului contului de neutralitate și cantitățile de gaze naturale transportate prin sistemul de transport în cursul lunii, folo</w:t>
            </w:r>
            <w:r>
              <w:rPr>
                <w:sz w:val="22"/>
                <w:szCs w:val="22"/>
                <w:lang w:val="ro-MD"/>
              </w:rPr>
              <w:t>sind modelul din Anexa 2.</w:t>
            </w:r>
          </w:p>
        </w:tc>
        <w:tc>
          <w:tcPr>
            <w:tcW w:w="1719" w:type="pct"/>
            <w:shd w:val="clear" w:color="auto" w:fill="auto"/>
          </w:tcPr>
          <w:p w14:paraId="4E71D69C" w14:textId="77777777" w:rsidR="00A520A9" w:rsidRDefault="00A520A9" w:rsidP="00A520A9">
            <w:pPr>
              <w:tabs>
                <w:tab w:val="left" w:pos="124"/>
                <w:tab w:val="left" w:pos="265"/>
              </w:tabs>
              <w:jc w:val="both"/>
              <w:rPr>
                <w:color w:val="000000" w:themeColor="text1"/>
                <w:sz w:val="22"/>
                <w:szCs w:val="22"/>
                <w:lang w:val="ro-RO"/>
              </w:rPr>
            </w:pPr>
            <w:r w:rsidRPr="00B539D6">
              <w:rPr>
                <w:color w:val="000000" w:themeColor="text1"/>
                <w:sz w:val="22"/>
                <w:szCs w:val="22"/>
                <w:lang w:val="ro-RO"/>
              </w:rPr>
              <w:t xml:space="preserve">OST </w:t>
            </w:r>
            <w:proofErr w:type="spellStart"/>
            <w:r w:rsidRPr="00B539D6">
              <w:rPr>
                <w:color w:val="000000" w:themeColor="text1"/>
                <w:sz w:val="22"/>
                <w:szCs w:val="22"/>
                <w:lang w:val="ro-RO"/>
              </w:rPr>
              <w:t>publicã</w:t>
            </w:r>
            <w:proofErr w:type="spellEnd"/>
            <w:r w:rsidRPr="00B539D6">
              <w:rPr>
                <w:color w:val="000000" w:themeColor="text1"/>
                <w:sz w:val="22"/>
                <w:szCs w:val="22"/>
                <w:lang w:val="ro-RO"/>
              </w:rPr>
              <w:t xml:space="preserve"> lunar </w:t>
            </w:r>
            <w:proofErr w:type="spellStart"/>
            <w:r w:rsidRPr="00B539D6">
              <w:rPr>
                <w:color w:val="000000" w:themeColor="text1"/>
                <w:sz w:val="22"/>
                <w:szCs w:val="22"/>
                <w:lang w:val="ro-RO"/>
              </w:rPr>
              <w:t>informatii</w:t>
            </w:r>
            <w:proofErr w:type="spellEnd"/>
            <w:r w:rsidRPr="00B539D6">
              <w:rPr>
                <w:color w:val="000000" w:themeColor="text1"/>
                <w:sz w:val="22"/>
                <w:szCs w:val="22"/>
                <w:lang w:val="ro-RO"/>
              </w:rPr>
              <w:t xml:space="preserve"> privind calculul soldului contului de neutralitate si </w:t>
            </w:r>
            <w:proofErr w:type="spellStart"/>
            <w:r w:rsidRPr="00B539D6">
              <w:rPr>
                <w:color w:val="000000" w:themeColor="text1"/>
                <w:sz w:val="22"/>
                <w:szCs w:val="22"/>
                <w:lang w:val="ro-RO"/>
              </w:rPr>
              <w:t>cantitatile</w:t>
            </w:r>
            <w:proofErr w:type="spellEnd"/>
            <w:r w:rsidRPr="00B539D6">
              <w:rPr>
                <w:color w:val="000000" w:themeColor="text1"/>
                <w:sz w:val="22"/>
                <w:szCs w:val="22"/>
                <w:lang w:val="ro-RO"/>
              </w:rPr>
              <w:t xml:space="preserve"> de gaze naturale transportate prin sistemul de transport în cursul lunii, folosind modelul din Anexa 2.</w:t>
            </w:r>
          </w:p>
          <w:p w14:paraId="302D208A" w14:textId="0042F61E" w:rsidR="00A520A9" w:rsidRDefault="00A520A9" w:rsidP="00A520A9">
            <w:pPr>
              <w:tabs>
                <w:tab w:val="left" w:pos="124"/>
                <w:tab w:val="left" w:pos="265"/>
              </w:tabs>
              <w:jc w:val="both"/>
              <w:rPr>
                <w:color w:val="000000" w:themeColor="text1"/>
                <w:sz w:val="22"/>
                <w:szCs w:val="22"/>
                <w:lang w:val="ro-RO"/>
              </w:rPr>
            </w:pPr>
            <w:proofErr w:type="spellStart"/>
            <w:r w:rsidRPr="00B539D6">
              <w:rPr>
                <w:color w:val="000000" w:themeColor="text1"/>
                <w:sz w:val="22"/>
                <w:szCs w:val="22"/>
                <w:lang w:val="ro-RO"/>
              </w:rPr>
              <w:t>Mentionăm</w:t>
            </w:r>
            <w:proofErr w:type="spellEnd"/>
            <w:r w:rsidRPr="00B539D6">
              <w:rPr>
                <w:color w:val="000000" w:themeColor="text1"/>
                <w:sz w:val="22"/>
                <w:szCs w:val="22"/>
                <w:lang w:val="ro-RO"/>
              </w:rPr>
              <w:t xml:space="preserve"> că Anexa 1 si Anexa 2 nu au fost </w:t>
            </w:r>
            <w:proofErr w:type="spellStart"/>
            <w:r w:rsidRPr="00B539D6">
              <w:rPr>
                <w:color w:val="000000" w:themeColor="text1"/>
                <w:sz w:val="22"/>
                <w:szCs w:val="22"/>
                <w:lang w:val="ro-RO"/>
              </w:rPr>
              <w:t>gãsite</w:t>
            </w:r>
            <w:proofErr w:type="spellEnd"/>
            <w:r w:rsidRPr="00B539D6">
              <w:rPr>
                <w:color w:val="000000" w:themeColor="text1"/>
                <w:sz w:val="22"/>
                <w:szCs w:val="22"/>
                <w:lang w:val="ro-RO"/>
              </w:rPr>
              <w:t xml:space="preserve"> în metodologie, ceea ce </w:t>
            </w:r>
            <w:proofErr w:type="spellStart"/>
            <w:r w:rsidRPr="00B539D6">
              <w:rPr>
                <w:color w:val="000000" w:themeColor="text1"/>
                <w:sz w:val="22"/>
                <w:szCs w:val="22"/>
                <w:lang w:val="ro-RO"/>
              </w:rPr>
              <w:t>sugereaza</w:t>
            </w:r>
            <w:proofErr w:type="spellEnd"/>
            <w:r w:rsidRPr="00B539D6">
              <w:rPr>
                <w:color w:val="000000" w:themeColor="text1"/>
                <w:sz w:val="22"/>
                <w:szCs w:val="22"/>
                <w:lang w:val="ro-RO"/>
              </w:rPr>
              <w:t xml:space="preserve"> </w:t>
            </w:r>
            <w:proofErr w:type="spellStart"/>
            <w:r w:rsidRPr="00B539D6">
              <w:rPr>
                <w:color w:val="000000" w:themeColor="text1"/>
                <w:sz w:val="22"/>
                <w:szCs w:val="22"/>
                <w:lang w:val="ro-RO"/>
              </w:rPr>
              <w:t>cã</w:t>
            </w:r>
            <w:proofErr w:type="spellEnd"/>
            <w:r w:rsidRPr="00B539D6">
              <w:rPr>
                <w:color w:val="000000" w:themeColor="text1"/>
                <w:sz w:val="22"/>
                <w:szCs w:val="22"/>
                <w:lang w:val="ro-RO"/>
              </w:rPr>
              <w:t xml:space="preserve"> acestea fie au fost omise, fie nu au fost numerotate corect.</w:t>
            </w:r>
          </w:p>
        </w:tc>
        <w:tc>
          <w:tcPr>
            <w:cnfStyle w:val="000100000000" w:firstRow="0" w:lastRow="0" w:firstColumn="0" w:lastColumn="1" w:oddVBand="0" w:evenVBand="0" w:oddHBand="0" w:evenHBand="0" w:firstRowFirstColumn="0" w:firstRowLastColumn="0" w:lastRowFirstColumn="0" w:lastRowLastColumn="0"/>
            <w:tcW w:w="1042" w:type="pct"/>
            <w:shd w:val="clear" w:color="auto" w:fill="auto"/>
          </w:tcPr>
          <w:p w14:paraId="74A76C7A" w14:textId="77777777" w:rsidR="00E64844" w:rsidRPr="00E64844" w:rsidRDefault="00EB045F" w:rsidP="0079718A">
            <w:pPr>
              <w:tabs>
                <w:tab w:val="left" w:pos="284"/>
                <w:tab w:val="left" w:pos="426"/>
              </w:tabs>
              <w:jc w:val="both"/>
              <w:rPr>
                <w:b w:val="0"/>
                <w:sz w:val="22"/>
                <w:szCs w:val="22"/>
                <w:lang w:val="ro-MD"/>
              </w:rPr>
            </w:pPr>
            <w:r w:rsidRPr="00E64844">
              <w:rPr>
                <w:sz w:val="22"/>
                <w:szCs w:val="22"/>
                <w:lang w:val="ro-MD"/>
              </w:rPr>
              <w:t xml:space="preserve">Se </w:t>
            </w:r>
            <w:r w:rsidR="00F45DE1" w:rsidRPr="00E64844">
              <w:rPr>
                <w:sz w:val="22"/>
                <w:szCs w:val="22"/>
                <w:lang w:val="ro-MD"/>
              </w:rPr>
              <w:t>acceptă parțial</w:t>
            </w:r>
            <w:r w:rsidR="00320CA4" w:rsidRPr="00E64844">
              <w:rPr>
                <w:sz w:val="22"/>
                <w:szCs w:val="22"/>
                <w:lang w:val="ro-MD"/>
              </w:rPr>
              <w:t>,</w:t>
            </w:r>
            <w:r w:rsidR="00F45DE1" w:rsidRPr="00E64844">
              <w:rPr>
                <w:sz w:val="22"/>
                <w:szCs w:val="22"/>
                <w:lang w:val="ro-MD"/>
              </w:rPr>
              <w:t xml:space="preserve"> </w:t>
            </w:r>
            <w:r w:rsidR="00E64844" w:rsidRPr="00E64844">
              <w:rPr>
                <w:b w:val="0"/>
                <w:sz w:val="22"/>
                <w:szCs w:val="22"/>
                <w:lang w:val="ro-MD"/>
              </w:rPr>
              <w:t>în următoarea redacție:</w:t>
            </w:r>
          </w:p>
          <w:p w14:paraId="4E462DBE" w14:textId="77D7A9DC" w:rsidR="00EB045F" w:rsidRPr="008573E3" w:rsidRDefault="00E64844" w:rsidP="0079718A">
            <w:pPr>
              <w:tabs>
                <w:tab w:val="left" w:pos="284"/>
                <w:tab w:val="left" w:pos="426"/>
              </w:tabs>
              <w:jc w:val="both"/>
              <w:rPr>
                <w:b w:val="0"/>
                <w:i/>
                <w:lang w:val="ro-RO"/>
              </w:rPr>
            </w:pPr>
            <w:r w:rsidRPr="00B3091C">
              <w:rPr>
                <w:i/>
                <w:sz w:val="22"/>
                <w:szCs w:val="22"/>
                <w:lang w:val="ro-RO"/>
              </w:rPr>
              <w:t>19.</w:t>
            </w:r>
            <w:r w:rsidRPr="00E64844">
              <w:rPr>
                <w:b w:val="0"/>
                <w:i/>
                <w:sz w:val="22"/>
                <w:szCs w:val="22"/>
                <w:lang w:val="ro-RO"/>
              </w:rPr>
              <w:t xml:space="preserve"> </w:t>
            </w:r>
            <w:r w:rsidR="0079718A" w:rsidRPr="00E64844">
              <w:rPr>
                <w:b w:val="0"/>
                <w:i/>
                <w:sz w:val="22"/>
                <w:szCs w:val="22"/>
                <w:lang w:val="ro-RO"/>
              </w:rPr>
              <w:t>OST publică pe pagina electronică, până la data de 28 a lunii M+1, informații privind calculul soldului contului de neutralitate și cantitățile de gaze naturale transportate prin sistemul de transport în cursul lunii, conform modelului din Anexa nr. 2 la prezenta Metodologie.</w:t>
            </w:r>
            <w:r w:rsidR="0079718A" w:rsidRPr="0079718A">
              <w:rPr>
                <w:b w:val="0"/>
                <w:i/>
                <w:lang w:val="ro-RO"/>
              </w:rPr>
              <w:t xml:space="preserve"> </w:t>
            </w:r>
          </w:p>
        </w:tc>
      </w:tr>
      <w:tr w:rsidR="00A520A9" w:rsidRPr="00E11DE1" w14:paraId="6226310E" w14:textId="77777777" w:rsidTr="00B3091C">
        <w:trPr>
          <w:trHeight w:val="416"/>
        </w:trPr>
        <w:tc>
          <w:tcPr>
            <w:tcW w:w="327" w:type="pct"/>
            <w:vAlign w:val="center"/>
          </w:tcPr>
          <w:p w14:paraId="729E15CF" w14:textId="0E72AFF8" w:rsidR="00A520A9" w:rsidRPr="000B038D" w:rsidRDefault="00A520A9" w:rsidP="00A520A9">
            <w:pPr>
              <w:jc w:val="center"/>
              <w:rPr>
                <w:sz w:val="22"/>
                <w:szCs w:val="22"/>
                <w:lang w:val="ro-RO"/>
              </w:rPr>
            </w:pPr>
            <w:r w:rsidRPr="000B038D">
              <w:rPr>
                <w:sz w:val="22"/>
                <w:szCs w:val="22"/>
                <w:lang w:val="ro-RO"/>
              </w:rPr>
              <w:t>Pct.</w:t>
            </w:r>
            <w:r>
              <w:rPr>
                <w:sz w:val="22"/>
                <w:szCs w:val="22"/>
                <w:lang w:val="ro-RO"/>
              </w:rPr>
              <w:t xml:space="preserve"> </w:t>
            </w:r>
            <w:r w:rsidRPr="000B038D">
              <w:rPr>
                <w:sz w:val="22"/>
                <w:szCs w:val="22"/>
                <w:lang w:val="ro-RO"/>
              </w:rPr>
              <w:t>19</w:t>
            </w:r>
          </w:p>
        </w:tc>
        <w:tc>
          <w:tcPr>
            <w:tcW w:w="602" w:type="pct"/>
            <w:vAlign w:val="center"/>
          </w:tcPr>
          <w:p w14:paraId="0491A4F5" w14:textId="77777777" w:rsidR="00A520A9" w:rsidRPr="000B038D" w:rsidRDefault="00A520A9" w:rsidP="00A520A9">
            <w:pPr>
              <w:jc w:val="center"/>
              <w:rPr>
                <w:b/>
                <w:bCs/>
                <w:sz w:val="22"/>
                <w:szCs w:val="22"/>
                <w:lang w:val="ro-RO"/>
              </w:rPr>
            </w:pPr>
            <w:r w:rsidRPr="000B038D">
              <w:rPr>
                <w:sz w:val="22"/>
                <w:szCs w:val="22"/>
                <w:lang w:val="it-IT"/>
              </w:rPr>
              <w:t xml:space="preserve">SA </w:t>
            </w:r>
            <w:r w:rsidRPr="000B038D">
              <w:rPr>
                <w:sz w:val="22"/>
                <w:szCs w:val="22"/>
                <w:lang w:val="ro-RO"/>
              </w:rPr>
              <w:t>„</w:t>
            </w:r>
            <w:proofErr w:type="spellStart"/>
            <w:r w:rsidRPr="000B038D">
              <w:rPr>
                <w:sz w:val="22"/>
                <w:szCs w:val="22"/>
                <w:lang w:val="it-IT"/>
              </w:rPr>
              <w:t>Moldovagaz</w:t>
            </w:r>
            <w:proofErr w:type="spellEnd"/>
            <w:r w:rsidRPr="000B038D">
              <w:rPr>
                <w:sz w:val="22"/>
                <w:szCs w:val="22"/>
                <w:lang w:val="ro-RO"/>
              </w:rPr>
              <w:t>”</w:t>
            </w:r>
          </w:p>
          <w:p w14:paraId="627202F9" w14:textId="77777777" w:rsidR="00A520A9" w:rsidRPr="000B038D" w:rsidRDefault="00A520A9" w:rsidP="00A520A9">
            <w:pPr>
              <w:jc w:val="center"/>
              <w:rPr>
                <w:b/>
                <w:bCs/>
                <w:sz w:val="22"/>
                <w:szCs w:val="22"/>
                <w:lang w:val="it-IT"/>
              </w:rPr>
            </w:pPr>
            <w:r w:rsidRPr="000B038D">
              <w:rPr>
                <w:sz w:val="22"/>
                <w:szCs w:val="22"/>
                <w:lang w:val="ro-RO"/>
              </w:rPr>
              <w:t>nr. 02/2-2475 din 03.09.2024</w:t>
            </w:r>
          </w:p>
          <w:p w14:paraId="35B791A6" w14:textId="77777777" w:rsidR="00A520A9" w:rsidRPr="000B038D" w:rsidRDefault="00A520A9" w:rsidP="00A520A9">
            <w:pPr>
              <w:jc w:val="center"/>
              <w:rPr>
                <w:sz w:val="22"/>
                <w:szCs w:val="22"/>
                <w:lang w:val="it-IT"/>
              </w:rPr>
            </w:pPr>
          </w:p>
        </w:tc>
        <w:tc>
          <w:tcPr>
            <w:tcW w:w="1309" w:type="pct"/>
          </w:tcPr>
          <w:p w14:paraId="5E5B5310" w14:textId="3435CAE3" w:rsidR="00A520A9" w:rsidRPr="000B038D" w:rsidRDefault="00A520A9" w:rsidP="00A520A9">
            <w:pPr>
              <w:tabs>
                <w:tab w:val="left" w:pos="284"/>
                <w:tab w:val="left" w:pos="426"/>
              </w:tabs>
              <w:jc w:val="both"/>
              <w:rPr>
                <w:sz w:val="22"/>
                <w:szCs w:val="22"/>
                <w:lang w:val="ro-MD"/>
              </w:rPr>
            </w:pPr>
            <w:r w:rsidRPr="000B038D">
              <w:rPr>
                <w:sz w:val="22"/>
                <w:szCs w:val="22"/>
                <w:lang w:val="ro-MD"/>
              </w:rPr>
              <w:lastRenderedPageBreak/>
              <w:t xml:space="preserve">Fiecare PRE trebuie să stabilească o garanție financiară în favoarea OST, pentru a atenua riscul de neplată de către PRE a facturilor emise de OST pentru </w:t>
            </w:r>
            <w:r w:rsidRPr="000B038D">
              <w:rPr>
                <w:sz w:val="22"/>
                <w:szCs w:val="22"/>
                <w:lang w:val="ro-MD"/>
              </w:rPr>
              <w:lastRenderedPageBreak/>
              <w:t>plățile pentru dezechilibru și/sau plății pentru neutralitate.</w:t>
            </w:r>
          </w:p>
        </w:tc>
        <w:tc>
          <w:tcPr>
            <w:tcW w:w="1719" w:type="pct"/>
            <w:shd w:val="clear" w:color="auto" w:fill="auto"/>
          </w:tcPr>
          <w:p w14:paraId="453D0259" w14:textId="657CD44C" w:rsidR="00A520A9" w:rsidRPr="000B038D" w:rsidRDefault="00A520A9" w:rsidP="00A520A9">
            <w:pPr>
              <w:tabs>
                <w:tab w:val="left" w:pos="709"/>
                <w:tab w:val="left" w:pos="993"/>
                <w:tab w:val="left" w:pos="1134"/>
              </w:tabs>
              <w:jc w:val="both"/>
              <w:rPr>
                <w:b/>
                <w:color w:val="000000" w:themeColor="text1"/>
                <w:sz w:val="22"/>
                <w:szCs w:val="22"/>
                <w:lang w:val="it-IT"/>
              </w:rPr>
            </w:pPr>
            <w:proofErr w:type="spellStart"/>
            <w:r w:rsidRPr="000B038D">
              <w:rPr>
                <w:color w:val="000000" w:themeColor="text1"/>
                <w:sz w:val="22"/>
                <w:szCs w:val="22"/>
                <w:lang w:val="it-IT"/>
              </w:rPr>
              <w:lastRenderedPageBreak/>
              <w:t>Pct</w:t>
            </w:r>
            <w:proofErr w:type="spellEnd"/>
            <w:r w:rsidRPr="000B038D">
              <w:rPr>
                <w:color w:val="000000" w:themeColor="text1"/>
                <w:sz w:val="22"/>
                <w:szCs w:val="22"/>
                <w:lang w:val="it-IT"/>
              </w:rPr>
              <w:t xml:space="preserve">. 19 se va completa cu </w:t>
            </w:r>
            <w:proofErr w:type="spellStart"/>
            <w:r w:rsidRPr="000B038D">
              <w:rPr>
                <w:color w:val="000000" w:themeColor="text1"/>
                <w:sz w:val="22"/>
                <w:szCs w:val="22"/>
                <w:lang w:val="it-IT"/>
              </w:rPr>
              <w:t>următorul</w:t>
            </w:r>
            <w:proofErr w:type="spellEnd"/>
            <w:r w:rsidRPr="000B038D">
              <w:rPr>
                <w:color w:val="000000" w:themeColor="text1"/>
                <w:sz w:val="22"/>
                <w:szCs w:val="22"/>
                <w:lang w:val="it-IT"/>
              </w:rPr>
              <w:t xml:space="preserve"> text </w:t>
            </w:r>
            <w:proofErr w:type="gramStart"/>
            <w:r w:rsidRPr="000B038D">
              <w:rPr>
                <w:color w:val="000000" w:themeColor="text1"/>
                <w:sz w:val="22"/>
                <w:szCs w:val="22"/>
                <w:lang w:val="it-IT"/>
              </w:rPr>
              <w:t>„ </w:t>
            </w:r>
            <w:r w:rsidRPr="000B038D">
              <w:rPr>
                <w:i/>
                <w:color w:val="000000" w:themeColor="text1"/>
                <w:sz w:val="22"/>
                <w:szCs w:val="22"/>
                <w:lang w:val="it-IT"/>
              </w:rPr>
              <w:t>,</w:t>
            </w:r>
            <w:proofErr w:type="gramEnd"/>
            <w:r w:rsidRPr="000B038D">
              <w:rPr>
                <w:i/>
                <w:color w:val="000000" w:themeColor="text1"/>
                <w:sz w:val="22"/>
                <w:szCs w:val="22"/>
                <w:lang w:val="it-IT"/>
              </w:rPr>
              <w:t xml:space="preserve"> </w:t>
            </w:r>
            <w:proofErr w:type="spellStart"/>
            <w:r w:rsidRPr="000B038D">
              <w:rPr>
                <w:i/>
                <w:color w:val="000000" w:themeColor="text1"/>
                <w:sz w:val="22"/>
                <w:szCs w:val="22"/>
                <w:lang w:val="it-IT"/>
              </w:rPr>
              <w:t>în</w:t>
            </w:r>
            <w:proofErr w:type="spellEnd"/>
            <w:r w:rsidRPr="000B038D">
              <w:rPr>
                <w:i/>
                <w:color w:val="000000" w:themeColor="text1"/>
                <w:sz w:val="22"/>
                <w:szCs w:val="22"/>
                <w:lang w:val="it-IT"/>
              </w:rPr>
              <w:t xml:space="preserve"> </w:t>
            </w:r>
            <w:proofErr w:type="spellStart"/>
            <w:r w:rsidRPr="000B038D">
              <w:rPr>
                <w:i/>
                <w:color w:val="000000" w:themeColor="text1"/>
                <w:sz w:val="22"/>
                <w:szCs w:val="22"/>
                <w:lang w:val="it-IT"/>
              </w:rPr>
              <w:t>condițiile</w:t>
            </w:r>
            <w:proofErr w:type="spellEnd"/>
            <w:r w:rsidRPr="000B038D">
              <w:rPr>
                <w:i/>
                <w:color w:val="000000" w:themeColor="text1"/>
                <w:sz w:val="22"/>
                <w:szCs w:val="22"/>
                <w:lang w:val="it-IT"/>
              </w:rPr>
              <w:t xml:space="preserve"> stabilite </w:t>
            </w:r>
            <w:proofErr w:type="spellStart"/>
            <w:r w:rsidRPr="000B038D">
              <w:rPr>
                <w:i/>
                <w:color w:val="000000" w:themeColor="text1"/>
                <w:sz w:val="22"/>
                <w:szCs w:val="22"/>
                <w:lang w:val="it-IT"/>
              </w:rPr>
              <w:t>în</w:t>
            </w:r>
            <w:proofErr w:type="spellEnd"/>
            <w:r w:rsidRPr="000B038D">
              <w:rPr>
                <w:i/>
                <w:color w:val="000000" w:themeColor="text1"/>
                <w:sz w:val="22"/>
                <w:szCs w:val="22"/>
                <w:lang w:val="it-IT"/>
              </w:rPr>
              <w:t xml:space="preserve"> </w:t>
            </w:r>
            <w:proofErr w:type="spellStart"/>
            <w:r w:rsidRPr="000B038D">
              <w:rPr>
                <w:i/>
                <w:color w:val="000000" w:themeColor="text1"/>
                <w:sz w:val="22"/>
                <w:szCs w:val="22"/>
                <w:lang w:val="it-IT"/>
              </w:rPr>
              <w:t>Contractul</w:t>
            </w:r>
            <w:proofErr w:type="spellEnd"/>
            <w:r w:rsidRPr="000B038D">
              <w:rPr>
                <w:i/>
                <w:color w:val="000000" w:themeColor="text1"/>
                <w:sz w:val="22"/>
                <w:szCs w:val="22"/>
                <w:lang w:val="it-IT"/>
              </w:rPr>
              <w:t xml:space="preserve"> de echilibrare.</w:t>
            </w:r>
            <w:r w:rsidRPr="000B038D">
              <w:rPr>
                <w:color w:val="000000" w:themeColor="text1"/>
                <w:sz w:val="22"/>
                <w:szCs w:val="22"/>
                <w:lang w:val="it-IT"/>
              </w:rPr>
              <w:t>”</w:t>
            </w:r>
          </w:p>
          <w:p w14:paraId="708E6AC5" w14:textId="77777777" w:rsidR="00A520A9" w:rsidRPr="000B038D" w:rsidRDefault="00A520A9" w:rsidP="00A520A9">
            <w:pPr>
              <w:tabs>
                <w:tab w:val="left" w:pos="124"/>
                <w:tab w:val="left" w:pos="265"/>
              </w:tabs>
              <w:jc w:val="both"/>
              <w:rPr>
                <w:color w:val="000000" w:themeColor="text1"/>
                <w:sz w:val="22"/>
                <w:szCs w:val="22"/>
                <w:lang w:val="ro-RO"/>
              </w:rPr>
            </w:pPr>
          </w:p>
        </w:tc>
        <w:tc>
          <w:tcPr>
            <w:cnfStyle w:val="000100000000" w:firstRow="0" w:lastRow="0" w:firstColumn="0" w:lastColumn="1" w:oddVBand="0" w:evenVBand="0" w:oddHBand="0" w:evenHBand="0" w:firstRowFirstColumn="0" w:firstRowLastColumn="0" w:lastRowFirstColumn="0" w:lastRowLastColumn="0"/>
            <w:tcW w:w="1042" w:type="pct"/>
            <w:shd w:val="clear" w:color="auto" w:fill="auto"/>
          </w:tcPr>
          <w:p w14:paraId="7CCC65D6" w14:textId="3AF16156" w:rsidR="00A520A9" w:rsidRPr="00D7413C" w:rsidRDefault="00A520A9" w:rsidP="00A520A9">
            <w:pPr>
              <w:jc w:val="both"/>
              <w:rPr>
                <w:sz w:val="22"/>
                <w:szCs w:val="22"/>
                <w:lang w:val="ro-MD"/>
              </w:rPr>
            </w:pPr>
            <w:r w:rsidRPr="00D7413C">
              <w:rPr>
                <w:sz w:val="22"/>
                <w:szCs w:val="22"/>
                <w:lang w:val="ro-MD"/>
              </w:rPr>
              <w:t>Se acceptă</w:t>
            </w:r>
            <w:r w:rsidR="008573E3">
              <w:rPr>
                <w:sz w:val="22"/>
                <w:szCs w:val="22"/>
                <w:lang w:val="ro-MD"/>
              </w:rPr>
              <w:t>.</w:t>
            </w:r>
            <w:r w:rsidRPr="00D7413C">
              <w:rPr>
                <w:sz w:val="22"/>
                <w:szCs w:val="22"/>
                <w:lang w:val="ro-MD"/>
              </w:rPr>
              <w:t xml:space="preserve"> </w:t>
            </w:r>
          </w:p>
          <w:p w14:paraId="22A2FF3B" w14:textId="77777777" w:rsidR="00A520A9" w:rsidRPr="00D7413C" w:rsidRDefault="00A520A9" w:rsidP="00A520A9">
            <w:pPr>
              <w:jc w:val="both"/>
              <w:rPr>
                <w:sz w:val="22"/>
                <w:szCs w:val="22"/>
                <w:lang w:val="ro-MD"/>
              </w:rPr>
            </w:pPr>
          </w:p>
        </w:tc>
      </w:tr>
      <w:tr w:rsidR="00A520A9" w:rsidRPr="00B3091C" w14:paraId="143D16A4" w14:textId="77777777" w:rsidTr="006C7A87">
        <w:trPr>
          <w:trHeight w:val="841"/>
        </w:trPr>
        <w:tc>
          <w:tcPr>
            <w:tcW w:w="327" w:type="pct"/>
            <w:vAlign w:val="center"/>
          </w:tcPr>
          <w:p w14:paraId="783C155E" w14:textId="2DBA5D1D" w:rsidR="00A520A9" w:rsidRPr="000B038D" w:rsidRDefault="00A520A9" w:rsidP="00A520A9">
            <w:pPr>
              <w:jc w:val="center"/>
              <w:rPr>
                <w:sz w:val="22"/>
                <w:szCs w:val="22"/>
                <w:lang w:val="ro-RO"/>
              </w:rPr>
            </w:pPr>
            <w:r w:rsidRPr="000B038D">
              <w:rPr>
                <w:sz w:val="22"/>
                <w:szCs w:val="22"/>
                <w:lang w:val="ro-RO"/>
              </w:rPr>
              <w:lastRenderedPageBreak/>
              <w:t>Pct.</w:t>
            </w:r>
            <w:r>
              <w:rPr>
                <w:sz w:val="22"/>
                <w:szCs w:val="22"/>
                <w:lang w:val="ro-RO"/>
              </w:rPr>
              <w:t xml:space="preserve"> </w:t>
            </w:r>
            <w:r w:rsidRPr="000B038D">
              <w:rPr>
                <w:sz w:val="22"/>
                <w:szCs w:val="22"/>
                <w:lang w:val="ro-RO"/>
              </w:rPr>
              <w:t>19-20</w:t>
            </w:r>
          </w:p>
        </w:tc>
        <w:tc>
          <w:tcPr>
            <w:tcW w:w="602" w:type="pct"/>
            <w:vAlign w:val="center"/>
          </w:tcPr>
          <w:p w14:paraId="09B55D92" w14:textId="77777777" w:rsidR="00A520A9" w:rsidRPr="000B038D" w:rsidRDefault="00A520A9" w:rsidP="00A520A9">
            <w:pPr>
              <w:jc w:val="center"/>
              <w:rPr>
                <w:b/>
                <w:bCs/>
                <w:sz w:val="22"/>
                <w:szCs w:val="22"/>
                <w:lang w:val="ro-RO"/>
              </w:rPr>
            </w:pPr>
            <w:r w:rsidRPr="000B038D">
              <w:rPr>
                <w:sz w:val="22"/>
                <w:szCs w:val="22"/>
                <w:lang w:val="it-IT"/>
              </w:rPr>
              <w:t xml:space="preserve">SA </w:t>
            </w:r>
            <w:r w:rsidRPr="000B038D">
              <w:rPr>
                <w:sz w:val="22"/>
                <w:szCs w:val="22"/>
                <w:lang w:val="ro-RO"/>
              </w:rPr>
              <w:t>„</w:t>
            </w:r>
            <w:proofErr w:type="spellStart"/>
            <w:r w:rsidRPr="000B038D">
              <w:rPr>
                <w:sz w:val="22"/>
                <w:szCs w:val="22"/>
                <w:lang w:val="it-IT"/>
              </w:rPr>
              <w:t>Moldovagaz</w:t>
            </w:r>
            <w:proofErr w:type="spellEnd"/>
            <w:r w:rsidRPr="000B038D">
              <w:rPr>
                <w:sz w:val="22"/>
                <w:szCs w:val="22"/>
                <w:lang w:val="ro-RO"/>
              </w:rPr>
              <w:t>”</w:t>
            </w:r>
          </w:p>
          <w:p w14:paraId="0DD361CA" w14:textId="77777777" w:rsidR="00A520A9" w:rsidRPr="000B038D" w:rsidRDefault="00A520A9" w:rsidP="00A520A9">
            <w:pPr>
              <w:jc w:val="center"/>
              <w:rPr>
                <w:b/>
                <w:bCs/>
                <w:sz w:val="22"/>
                <w:szCs w:val="22"/>
                <w:lang w:val="it-IT"/>
              </w:rPr>
            </w:pPr>
            <w:r w:rsidRPr="000B038D">
              <w:rPr>
                <w:sz w:val="22"/>
                <w:szCs w:val="22"/>
                <w:lang w:val="ro-RO"/>
              </w:rPr>
              <w:t>nr. 02/2-2475 din 03.09.2024</w:t>
            </w:r>
          </w:p>
          <w:p w14:paraId="340CB82D" w14:textId="77777777" w:rsidR="00A520A9" w:rsidRPr="000B038D" w:rsidRDefault="00A520A9" w:rsidP="00A520A9">
            <w:pPr>
              <w:jc w:val="center"/>
              <w:rPr>
                <w:sz w:val="22"/>
                <w:szCs w:val="22"/>
                <w:lang w:val="it-IT"/>
              </w:rPr>
            </w:pPr>
          </w:p>
        </w:tc>
        <w:tc>
          <w:tcPr>
            <w:tcW w:w="1309" w:type="pct"/>
          </w:tcPr>
          <w:p w14:paraId="2AFF7D82" w14:textId="77777777" w:rsidR="00A520A9" w:rsidRPr="000B038D" w:rsidRDefault="00A520A9" w:rsidP="00A520A9">
            <w:pPr>
              <w:tabs>
                <w:tab w:val="left" w:pos="284"/>
                <w:tab w:val="left" w:pos="426"/>
              </w:tabs>
              <w:jc w:val="both"/>
              <w:rPr>
                <w:sz w:val="22"/>
                <w:szCs w:val="22"/>
                <w:lang w:val="ro-MD"/>
              </w:rPr>
            </w:pPr>
            <w:r w:rsidRPr="000B038D">
              <w:rPr>
                <w:sz w:val="22"/>
                <w:szCs w:val="22"/>
                <w:lang w:val="ro-MD"/>
              </w:rPr>
              <w:t>Garanția financiară poate fi constituită de către PRE în una dintre următoarele forme:</w:t>
            </w:r>
          </w:p>
          <w:p w14:paraId="267EA4D1" w14:textId="77777777" w:rsidR="00A520A9" w:rsidRPr="000B038D" w:rsidRDefault="00A520A9" w:rsidP="00A520A9">
            <w:pPr>
              <w:numPr>
                <w:ilvl w:val="0"/>
                <w:numId w:val="27"/>
              </w:numPr>
              <w:tabs>
                <w:tab w:val="left" w:pos="284"/>
                <w:tab w:val="left" w:pos="709"/>
                <w:tab w:val="left" w:pos="993"/>
              </w:tabs>
              <w:ind w:left="0" w:firstLine="0"/>
              <w:jc w:val="both"/>
              <w:rPr>
                <w:sz w:val="22"/>
                <w:szCs w:val="22"/>
                <w:lang w:val="ro-MD"/>
              </w:rPr>
            </w:pPr>
            <w:r w:rsidRPr="000B038D">
              <w:rPr>
                <w:sz w:val="22"/>
                <w:szCs w:val="22"/>
                <w:lang w:val="ro-MD"/>
              </w:rPr>
              <w:t xml:space="preserve"> O garanție bancară irevocabilă și necondiționată, plătibilă la prima solicitare a OST, emisă de o bancă de renume licențiată să activeze în Republica Moldova. </w:t>
            </w:r>
          </w:p>
          <w:p w14:paraId="67026818" w14:textId="55D6DF84" w:rsidR="00A520A9" w:rsidRPr="008573E3" w:rsidRDefault="00A520A9" w:rsidP="00A520A9">
            <w:pPr>
              <w:numPr>
                <w:ilvl w:val="0"/>
                <w:numId w:val="27"/>
              </w:numPr>
              <w:tabs>
                <w:tab w:val="left" w:pos="284"/>
                <w:tab w:val="left" w:pos="709"/>
                <w:tab w:val="left" w:pos="993"/>
              </w:tabs>
              <w:ind w:left="0" w:firstLine="0"/>
              <w:jc w:val="both"/>
              <w:rPr>
                <w:sz w:val="22"/>
                <w:szCs w:val="22"/>
                <w:lang w:val="ro-MD"/>
              </w:rPr>
            </w:pPr>
            <w:r w:rsidRPr="000B038D">
              <w:rPr>
                <w:sz w:val="22"/>
                <w:szCs w:val="22"/>
                <w:lang w:val="ro-MD"/>
              </w:rPr>
              <w:t>Un depozit de numerar într-un cont bancar indicat de OST în contractul de echilibrare.</w:t>
            </w:r>
          </w:p>
        </w:tc>
        <w:tc>
          <w:tcPr>
            <w:tcW w:w="1719" w:type="pct"/>
            <w:shd w:val="clear" w:color="auto" w:fill="auto"/>
          </w:tcPr>
          <w:p w14:paraId="62604113" w14:textId="071FC4DD" w:rsidR="00A520A9" w:rsidRPr="000B038D" w:rsidRDefault="00A520A9" w:rsidP="00A520A9">
            <w:pPr>
              <w:tabs>
                <w:tab w:val="left" w:pos="709"/>
                <w:tab w:val="left" w:pos="993"/>
                <w:tab w:val="left" w:pos="1134"/>
              </w:tabs>
              <w:jc w:val="both"/>
              <w:rPr>
                <w:color w:val="000000" w:themeColor="text1"/>
                <w:sz w:val="22"/>
                <w:szCs w:val="22"/>
                <w:lang w:val="it-IT"/>
              </w:rPr>
            </w:pPr>
            <w:r w:rsidRPr="000B038D">
              <w:rPr>
                <w:color w:val="000000" w:themeColor="text1"/>
                <w:sz w:val="22"/>
                <w:szCs w:val="22"/>
                <w:lang w:val="ro-RO"/>
              </w:rPr>
              <w:t>Determinarea Nivelului garanției (NG) financiare din prezentul proiect și din Contractul de echilibrare, publicat pe pagina web-oficială a SRL „</w:t>
            </w:r>
            <w:proofErr w:type="spellStart"/>
            <w:r w:rsidRPr="000B038D">
              <w:rPr>
                <w:color w:val="000000" w:themeColor="text1"/>
                <w:sz w:val="22"/>
                <w:szCs w:val="22"/>
                <w:lang w:val="ro-RO"/>
              </w:rPr>
              <w:t>Vestmoldtransgaz</w:t>
            </w:r>
            <w:proofErr w:type="spellEnd"/>
            <w:r w:rsidRPr="000B038D">
              <w:rPr>
                <w:color w:val="000000" w:themeColor="text1"/>
                <w:sz w:val="22"/>
                <w:szCs w:val="22"/>
                <w:lang w:val="ro-RO"/>
              </w:rPr>
              <w:t>” este necesar de adus în concordanță.</w:t>
            </w:r>
          </w:p>
        </w:tc>
        <w:tc>
          <w:tcPr>
            <w:cnfStyle w:val="000100000000" w:firstRow="0" w:lastRow="0" w:firstColumn="0" w:lastColumn="1" w:oddVBand="0" w:evenVBand="0" w:oddHBand="0" w:evenHBand="0" w:firstRowFirstColumn="0" w:firstRowLastColumn="0" w:lastRowFirstColumn="0" w:lastRowLastColumn="0"/>
            <w:tcW w:w="1042" w:type="pct"/>
            <w:shd w:val="clear" w:color="auto" w:fill="auto"/>
          </w:tcPr>
          <w:p w14:paraId="21AD665F" w14:textId="28CEE1DF" w:rsidR="00A520A9" w:rsidRPr="00320CA4" w:rsidRDefault="00A520A9" w:rsidP="00A520A9">
            <w:pPr>
              <w:jc w:val="both"/>
              <w:rPr>
                <w:b w:val="0"/>
                <w:sz w:val="22"/>
                <w:szCs w:val="22"/>
                <w:lang w:val="ro-MD"/>
              </w:rPr>
            </w:pPr>
            <w:r w:rsidRPr="00320CA4">
              <w:rPr>
                <w:b w:val="0"/>
                <w:sz w:val="22"/>
                <w:szCs w:val="22"/>
                <w:lang w:val="ro-MD"/>
              </w:rPr>
              <w:t xml:space="preserve">VMTG va </w:t>
            </w:r>
            <w:proofErr w:type="spellStart"/>
            <w:r w:rsidRPr="00320CA4">
              <w:rPr>
                <w:b w:val="0"/>
                <w:sz w:val="22"/>
                <w:szCs w:val="22"/>
                <w:lang w:val="ro-MD"/>
              </w:rPr>
              <w:t>reîncheia</w:t>
            </w:r>
            <w:proofErr w:type="spellEnd"/>
            <w:r w:rsidRPr="00320CA4">
              <w:rPr>
                <w:b w:val="0"/>
                <w:sz w:val="22"/>
                <w:szCs w:val="22"/>
                <w:lang w:val="ro-MD"/>
              </w:rPr>
              <w:t xml:space="preserve"> contractele de echili</w:t>
            </w:r>
            <w:r w:rsidR="00E64844">
              <w:rPr>
                <w:b w:val="0"/>
                <w:sz w:val="22"/>
                <w:szCs w:val="22"/>
                <w:lang w:val="ro-MD"/>
              </w:rPr>
              <w:t xml:space="preserve">brare </w:t>
            </w:r>
            <w:r w:rsidR="00E64844" w:rsidRPr="00B3091C">
              <w:rPr>
                <w:b w:val="0"/>
                <w:sz w:val="22"/>
                <w:szCs w:val="22"/>
                <w:lang w:val="ro-MD"/>
              </w:rPr>
              <w:t>cu PRE</w:t>
            </w:r>
            <w:r w:rsidR="00320CA4" w:rsidRPr="00B3091C">
              <w:rPr>
                <w:b w:val="0"/>
                <w:sz w:val="22"/>
                <w:szCs w:val="22"/>
                <w:lang w:val="ro-MD"/>
              </w:rPr>
              <w:t xml:space="preserve"> si</w:t>
            </w:r>
            <w:r w:rsidR="00320CA4" w:rsidRPr="00320CA4">
              <w:rPr>
                <w:b w:val="0"/>
                <w:sz w:val="22"/>
                <w:szCs w:val="22"/>
                <w:lang w:val="ro-MD"/>
              </w:rPr>
              <w:t xml:space="preserve"> va publica contractul cadru de echilibrare </w:t>
            </w:r>
          </w:p>
        </w:tc>
      </w:tr>
      <w:tr w:rsidR="00A520A9" w:rsidRPr="00CF58CB" w14:paraId="52026245" w14:textId="77777777" w:rsidTr="006C7A87">
        <w:trPr>
          <w:trHeight w:val="841"/>
        </w:trPr>
        <w:tc>
          <w:tcPr>
            <w:tcW w:w="327" w:type="pct"/>
            <w:vAlign w:val="center"/>
          </w:tcPr>
          <w:p w14:paraId="6256931A" w14:textId="71666436" w:rsidR="00A520A9" w:rsidRPr="000B038D" w:rsidRDefault="00A520A9" w:rsidP="00A520A9">
            <w:pPr>
              <w:jc w:val="center"/>
              <w:rPr>
                <w:b/>
                <w:bCs/>
                <w:sz w:val="22"/>
                <w:szCs w:val="22"/>
                <w:lang w:val="ro-RO"/>
              </w:rPr>
            </w:pPr>
            <w:r w:rsidRPr="000B038D">
              <w:rPr>
                <w:sz w:val="22"/>
                <w:szCs w:val="22"/>
                <w:lang w:val="ro-RO"/>
              </w:rPr>
              <w:t xml:space="preserve">Pct. 20, </w:t>
            </w:r>
            <w:proofErr w:type="spellStart"/>
            <w:r w:rsidRPr="000B038D">
              <w:rPr>
                <w:sz w:val="22"/>
                <w:szCs w:val="22"/>
                <w:lang w:val="ro-RO"/>
              </w:rPr>
              <w:t>sbp</w:t>
            </w:r>
            <w:proofErr w:type="spellEnd"/>
            <w:r w:rsidRPr="000B038D">
              <w:rPr>
                <w:sz w:val="22"/>
                <w:szCs w:val="22"/>
                <w:lang w:val="ro-RO"/>
              </w:rPr>
              <w:t>.</w:t>
            </w:r>
            <w:r>
              <w:rPr>
                <w:sz w:val="22"/>
                <w:szCs w:val="22"/>
                <w:lang w:val="ro-RO"/>
              </w:rPr>
              <w:t xml:space="preserve"> </w:t>
            </w:r>
            <w:r w:rsidRPr="000B038D">
              <w:rPr>
                <w:sz w:val="22"/>
                <w:szCs w:val="22"/>
                <w:lang w:val="ro-RO"/>
              </w:rPr>
              <w:t>1)</w:t>
            </w:r>
          </w:p>
        </w:tc>
        <w:tc>
          <w:tcPr>
            <w:tcW w:w="602" w:type="pct"/>
            <w:vAlign w:val="center"/>
          </w:tcPr>
          <w:p w14:paraId="1D068D14" w14:textId="77777777" w:rsidR="00A520A9" w:rsidRPr="000B038D" w:rsidRDefault="00A520A9" w:rsidP="00A520A9">
            <w:pPr>
              <w:jc w:val="center"/>
              <w:rPr>
                <w:b/>
                <w:bCs/>
                <w:sz w:val="22"/>
                <w:szCs w:val="22"/>
                <w:lang w:val="ro-RO"/>
              </w:rPr>
            </w:pPr>
            <w:r w:rsidRPr="000B038D">
              <w:rPr>
                <w:sz w:val="22"/>
                <w:szCs w:val="22"/>
                <w:lang w:val="ro-RO"/>
              </w:rPr>
              <w:t>Consiliul Concurenței</w:t>
            </w:r>
          </w:p>
          <w:p w14:paraId="1F5EFEED" w14:textId="77777777" w:rsidR="00A520A9" w:rsidRPr="000B038D" w:rsidRDefault="00A520A9" w:rsidP="00A520A9">
            <w:pPr>
              <w:jc w:val="center"/>
              <w:rPr>
                <w:b/>
                <w:bCs/>
                <w:sz w:val="22"/>
                <w:szCs w:val="22"/>
                <w:lang w:val="ro-RO"/>
              </w:rPr>
            </w:pPr>
            <w:r w:rsidRPr="000B038D">
              <w:rPr>
                <w:sz w:val="22"/>
                <w:szCs w:val="22"/>
                <w:lang w:val="ro-RO"/>
              </w:rPr>
              <w:t xml:space="preserve">DJ-06/580-1294 </w:t>
            </w:r>
          </w:p>
          <w:p w14:paraId="2E563BCA" w14:textId="1A668897" w:rsidR="00A520A9" w:rsidRPr="000B038D" w:rsidRDefault="00A520A9" w:rsidP="00A520A9">
            <w:pPr>
              <w:jc w:val="center"/>
              <w:rPr>
                <w:b/>
                <w:bCs/>
                <w:sz w:val="22"/>
                <w:szCs w:val="22"/>
                <w:lang w:val="it-IT"/>
              </w:rPr>
            </w:pPr>
            <w:r w:rsidRPr="000B038D">
              <w:rPr>
                <w:sz w:val="22"/>
                <w:szCs w:val="22"/>
                <w:lang w:val="ro-RO"/>
              </w:rPr>
              <w:t>din 02.9.2024</w:t>
            </w:r>
          </w:p>
        </w:tc>
        <w:tc>
          <w:tcPr>
            <w:tcW w:w="1309" w:type="pct"/>
          </w:tcPr>
          <w:p w14:paraId="6A92CF10" w14:textId="77777777" w:rsidR="00A520A9" w:rsidRPr="000B038D" w:rsidRDefault="00A520A9" w:rsidP="00A520A9">
            <w:pPr>
              <w:tabs>
                <w:tab w:val="left" w:pos="284"/>
                <w:tab w:val="left" w:pos="426"/>
              </w:tabs>
              <w:jc w:val="both"/>
              <w:rPr>
                <w:b/>
                <w:bCs/>
                <w:sz w:val="22"/>
                <w:szCs w:val="22"/>
                <w:lang w:val="ro-MD"/>
              </w:rPr>
            </w:pPr>
            <w:r w:rsidRPr="000B038D">
              <w:rPr>
                <w:sz w:val="22"/>
                <w:szCs w:val="22"/>
                <w:lang w:val="ro-MD"/>
              </w:rPr>
              <w:t>Garanția financiară poate fi constituită de către PRE în una dintre următoarele forme:</w:t>
            </w:r>
          </w:p>
          <w:p w14:paraId="1D1E7A39" w14:textId="77777777" w:rsidR="00A520A9" w:rsidRPr="000B038D" w:rsidRDefault="00A520A9" w:rsidP="00A520A9">
            <w:pPr>
              <w:numPr>
                <w:ilvl w:val="0"/>
                <w:numId w:val="27"/>
              </w:numPr>
              <w:tabs>
                <w:tab w:val="left" w:pos="284"/>
                <w:tab w:val="left" w:pos="709"/>
                <w:tab w:val="left" w:pos="993"/>
              </w:tabs>
              <w:ind w:left="0" w:hanging="42"/>
              <w:jc w:val="both"/>
              <w:rPr>
                <w:b/>
                <w:bCs/>
                <w:sz w:val="22"/>
                <w:szCs w:val="22"/>
                <w:lang w:val="ro-MD"/>
              </w:rPr>
            </w:pPr>
            <w:r w:rsidRPr="000B038D">
              <w:rPr>
                <w:sz w:val="22"/>
                <w:szCs w:val="22"/>
                <w:lang w:val="ro-MD"/>
              </w:rPr>
              <w:t xml:space="preserve"> O garanție bancară irevocabilă și necondiționată, plătibilă la prima solicitare a OST, emisă de o bancă de renume licențiată să activeze în Republica Moldova. </w:t>
            </w:r>
          </w:p>
          <w:p w14:paraId="3D408B13" w14:textId="35439547" w:rsidR="00A520A9" w:rsidRPr="000B038D" w:rsidRDefault="00A520A9" w:rsidP="00A520A9">
            <w:pPr>
              <w:jc w:val="both"/>
              <w:rPr>
                <w:b/>
                <w:bCs/>
                <w:sz w:val="22"/>
                <w:szCs w:val="22"/>
                <w:lang w:val="ro-MD"/>
              </w:rPr>
            </w:pPr>
            <w:r w:rsidRPr="000B038D">
              <w:rPr>
                <w:sz w:val="22"/>
                <w:szCs w:val="22"/>
                <w:lang w:val="ro-MD"/>
              </w:rPr>
              <w:t>Un depozit de numerar într-un cont bancar indicat de OST în contractul de echilibrare.</w:t>
            </w:r>
          </w:p>
        </w:tc>
        <w:tc>
          <w:tcPr>
            <w:tcW w:w="1719" w:type="pct"/>
            <w:shd w:val="clear" w:color="auto" w:fill="auto"/>
          </w:tcPr>
          <w:p w14:paraId="702437CF" w14:textId="7CC2A3F3" w:rsidR="00A520A9" w:rsidRPr="000B038D" w:rsidRDefault="00A520A9" w:rsidP="00A520A9">
            <w:pPr>
              <w:jc w:val="both"/>
              <w:rPr>
                <w:b/>
                <w:bCs/>
                <w:sz w:val="22"/>
                <w:szCs w:val="22"/>
                <w:lang w:val="ro-MD"/>
              </w:rPr>
            </w:pPr>
            <w:r w:rsidRPr="000B038D">
              <w:rPr>
                <w:sz w:val="22"/>
                <w:szCs w:val="22"/>
                <w:lang w:val="ro-MD"/>
              </w:rPr>
              <w:t xml:space="preserve">Cerința de bancă de renume propusă pentru eligibilitatea băncilor de a emite garanție bancară irevocabilă și necondiționată la solicitarea OST în scopul atenuării riscului de neplată, prevăzută la pct. 20 </w:t>
            </w:r>
            <w:proofErr w:type="spellStart"/>
            <w:r w:rsidRPr="000B038D">
              <w:rPr>
                <w:sz w:val="22"/>
                <w:szCs w:val="22"/>
                <w:lang w:val="ro-MD"/>
              </w:rPr>
              <w:t>sbp</w:t>
            </w:r>
            <w:proofErr w:type="spellEnd"/>
            <w:r w:rsidRPr="000B038D">
              <w:rPr>
                <w:sz w:val="22"/>
                <w:szCs w:val="22"/>
                <w:lang w:val="ro-MD"/>
              </w:rPr>
              <w:t xml:space="preserve">. 1) din proiectul Metodologiei, este nejustificată. În condițiile în care toate băncile licențiate să activeze în Republica Moldova pot să emită garanții bancare irevocabile și necondiționate, implementarea pct. 20 </w:t>
            </w:r>
            <w:proofErr w:type="spellStart"/>
            <w:r w:rsidRPr="000B038D">
              <w:rPr>
                <w:sz w:val="22"/>
                <w:szCs w:val="22"/>
                <w:lang w:val="ro-MD"/>
              </w:rPr>
              <w:t>sbp</w:t>
            </w:r>
            <w:proofErr w:type="spellEnd"/>
            <w:r w:rsidRPr="000B038D">
              <w:rPr>
                <w:sz w:val="22"/>
                <w:szCs w:val="22"/>
                <w:lang w:val="ro-MD"/>
              </w:rPr>
              <w:t xml:space="preserve">. 1) din proiectul Metodologiei ar putea să stabilească pe criterii subiective și neprevizibile, avantaje concurențiale neîntemeiate pentru unele bănci în raport cu altele. </w:t>
            </w:r>
            <w:proofErr w:type="spellStart"/>
            <w:r w:rsidRPr="000B038D">
              <w:rPr>
                <w:sz w:val="22"/>
                <w:szCs w:val="22"/>
                <w:lang w:val="it-IT"/>
              </w:rPr>
              <w:t>Astfel</w:t>
            </w:r>
            <w:proofErr w:type="spellEnd"/>
            <w:r w:rsidRPr="000B038D">
              <w:rPr>
                <w:sz w:val="22"/>
                <w:szCs w:val="22"/>
                <w:lang w:val="it-IT"/>
              </w:rPr>
              <w:t xml:space="preserve">, la </w:t>
            </w:r>
            <w:proofErr w:type="spellStart"/>
            <w:r w:rsidRPr="000B038D">
              <w:rPr>
                <w:sz w:val="22"/>
                <w:szCs w:val="22"/>
                <w:lang w:val="it-IT"/>
              </w:rPr>
              <w:t>pct</w:t>
            </w:r>
            <w:proofErr w:type="spellEnd"/>
            <w:r w:rsidRPr="000B038D">
              <w:rPr>
                <w:sz w:val="22"/>
                <w:szCs w:val="22"/>
                <w:lang w:val="it-IT"/>
              </w:rPr>
              <w:t xml:space="preserve">. 20 </w:t>
            </w:r>
            <w:proofErr w:type="spellStart"/>
            <w:r w:rsidRPr="000B038D">
              <w:rPr>
                <w:sz w:val="22"/>
                <w:szCs w:val="22"/>
                <w:lang w:val="it-IT"/>
              </w:rPr>
              <w:t>sbp</w:t>
            </w:r>
            <w:proofErr w:type="spellEnd"/>
            <w:r w:rsidRPr="000B038D">
              <w:rPr>
                <w:sz w:val="22"/>
                <w:szCs w:val="22"/>
                <w:lang w:val="it-IT"/>
              </w:rPr>
              <w:t xml:space="preserve">. 1) </w:t>
            </w:r>
            <w:proofErr w:type="spellStart"/>
            <w:r w:rsidRPr="000B038D">
              <w:rPr>
                <w:sz w:val="22"/>
                <w:szCs w:val="22"/>
                <w:lang w:val="it-IT"/>
              </w:rPr>
              <w:t>din</w:t>
            </w:r>
            <w:proofErr w:type="spellEnd"/>
            <w:r w:rsidRPr="000B038D">
              <w:rPr>
                <w:sz w:val="22"/>
                <w:szCs w:val="22"/>
                <w:lang w:val="it-IT"/>
              </w:rPr>
              <w:t xml:space="preserve"> </w:t>
            </w:r>
            <w:proofErr w:type="spellStart"/>
            <w:r w:rsidRPr="000B038D">
              <w:rPr>
                <w:sz w:val="22"/>
                <w:szCs w:val="22"/>
                <w:lang w:val="it-IT"/>
              </w:rPr>
              <w:t>proiectul</w:t>
            </w:r>
            <w:proofErr w:type="spellEnd"/>
            <w:r w:rsidRPr="000B038D">
              <w:rPr>
                <w:sz w:val="22"/>
                <w:szCs w:val="22"/>
                <w:lang w:val="it-IT"/>
              </w:rPr>
              <w:t xml:space="preserve"> </w:t>
            </w:r>
            <w:proofErr w:type="spellStart"/>
            <w:r w:rsidRPr="000B038D">
              <w:rPr>
                <w:sz w:val="22"/>
                <w:szCs w:val="22"/>
                <w:lang w:val="it-IT"/>
              </w:rPr>
              <w:t>Metodologiei</w:t>
            </w:r>
            <w:proofErr w:type="spellEnd"/>
            <w:r w:rsidRPr="000B038D">
              <w:rPr>
                <w:sz w:val="22"/>
                <w:szCs w:val="22"/>
                <w:lang w:val="it-IT"/>
              </w:rPr>
              <w:t xml:space="preserve"> </w:t>
            </w:r>
            <w:proofErr w:type="spellStart"/>
            <w:r w:rsidRPr="000B038D">
              <w:rPr>
                <w:sz w:val="22"/>
                <w:szCs w:val="22"/>
                <w:lang w:val="it-IT"/>
              </w:rPr>
              <w:t>propunem</w:t>
            </w:r>
            <w:proofErr w:type="spellEnd"/>
            <w:r w:rsidRPr="000B038D">
              <w:rPr>
                <w:sz w:val="22"/>
                <w:szCs w:val="22"/>
                <w:lang w:val="it-IT"/>
              </w:rPr>
              <w:t xml:space="preserve"> </w:t>
            </w:r>
            <w:proofErr w:type="spellStart"/>
            <w:r w:rsidRPr="000B038D">
              <w:rPr>
                <w:sz w:val="22"/>
                <w:szCs w:val="22"/>
                <w:lang w:val="it-IT"/>
              </w:rPr>
              <w:t>excluderea</w:t>
            </w:r>
            <w:proofErr w:type="spellEnd"/>
            <w:r w:rsidRPr="000B038D">
              <w:rPr>
                <w:sz w:val="22"/>
                <w:szCs w:val="22"/>
                <w:lang w:val="it-IT"/>
              </w:rPr>
              <w:t xml:space="preserve"> </w:t>
            </w:r>
            <w:proofErr w:type="spellStart"/>
            <w:r w:rsidRPr="000B038D">
              <w:rPr>
                <w:sz w:val="22"/>
                <w:szCs w:val="22"/>
                <w:lang w:val="it-IT"/>
              </w:rPr>
              <w:t>cerinței</w:t>
            </w:r>
            <w:proofErr w:type="spellEnd"/>
            <w:r w:rsidRPr="000B038D">
              <w:rPr>
                <w:sz w:val="22"/>
                <w:szCs w:val="22"/>
                <w:lang w:val="it-IT"/>
              </w:rPr>
              <w:t xml:space="preserve"> </w:t>
            </w:r>
            <w:proofErr w:type="spellStart"/>
            <w:r w:rsidRPr="000B038D">
              <w:rPr>
                <w:sz w:val="22"/>
                <w:szCs w:val="22"/>
                <w:lang w:val="it-IT"/>
              </w:rPr>
              <w:t>ca</w:t>
            </w:r>
            <w:proofErr w:type="spellEnd"/>
            <w:r w:rsidRPr="000B038D">
              <w:rPr>
                <w:sz w:val="22"/>
                <w:szCs w:val="22"/>
                <w:lang w:val="it-IT"/>
              </w:rPr>
              <w:t xml:space="preserve"> banca </w:t>
            </w:r>
            <w:proofErr w:type="spellStart"/>
            <w:r w:rsidRPr="000B038D">
              <w:rPr>
                <w:sz w:val="22"/>
                <w:szCs w:val="22"/>
                <w:lang w:val="it-IT"/>
              </w:rPr>
              <w:t>să</w:t>
            </w:r>
            <w:proofErr w:type="spellEnd"/>
            <w:r w:rsidRPr="000B038D">
              <w:rPr>
                <w:sz w:val="22"/>
                <w:szCs w:val="22"/>
                <w:lang w:val="it-IT"/>
              </w:rPr>
              <w:t xml:space="preserve"> </w:t>
            </w:r>
            <w:proofErr w:type="spellStart"/>
            <w:r w:rsidRPr="000B038D">
              <w:rPr>
                <w:sz w:val="22"/>
                <w:szCs w:val="22"/>
                <w:lang w:val="it-IT"/>
              </w:rPr>
              <w:t>dispună</w:t>
            </w:r>
            <w:proofErr w:type="spellEnd"/>
            <w:r w:rsidRPr="000B038D">
              <w:rPr>
                <w:sz w:val="22"/>
                <w:szCs w:val="22"/>
                <w:lang w:val="it-IT"/>
              </w:rPr>
              <w:t xml:space="preserve"> de </w:t>
            </w:r>
            <w:proofErr w:type="spellStart"/>
            <w:r w:rsidRPr="000B038D">
              <w:rPr>
                <w:sz w:val="22"/>
                <w:szCs w:val="22"/>
                <w:lang w:val="it-IT"/>
              </w:rPr>
              <w:t>renume</w:t>
            </w:r>
            <w:proofErr w:type="spellEnd"/>
            <w:r w:rsidRPr="000B038D">
              <w:rPr>
                <w:sz w:val="22"/>
                <w:szCs w:val="22"/>
                <w:lang w:val="it-IT"/>
              </w:rPr>
              <w:t xml:space="preserve"> </w:t>
            </w:r>
            <w:proofErr w:type="spellStart"/>
            <w:r w:rsidRPr="000B038D">
              <w:rPr>
                <w:sz w:val="22"/>
                <w:szCs w:val="22"/>
                <w:lang w:val="it-IT"/>
              </w:rPr>
              <w:t>sau</w:t>
            </w:r>
            <w:proofErr w:type="spellEnd"/>
            <w:r w:rsidRPr="000B038D">
              <w:rPr>
                <w:sz w:val="22"/>
                <w:szCs w:val="22"/>
                <w:lang w:val="it-IT"/>
              </w:rPr>
              <w:t xml:space="preserve"> </w:t>
            </w:r>
            <w:proofErr w:type="spellStart"/>
            <w:r w:rsidRPr="000B038D">
              <w:rPr>
                <w:sz w:val="22"/>
                <w:szCs w:val="22"/>
                <w:lang w:val="it-IT"/>
              </w:rPr>
              <w:t>completarea</w:t>
            </w:r>
            <w:proofErr w:type="spellEnd"/>
            <w:r w:rsidRPr="000B038D">
              <w:rPr>
                <w:sz w:val="22"/>
                <w:szCs w:val="22"/>
                <w:lang w:val="it-IT"/>
              </w:rPr>
              <w:t xml:space="preserve"> </w:t>
            </w:r>
            <w:proofErr w:type="spellStart"/>
            <w:r w:rsidRPr="000B038D">
              <w:rPr>
                <w:sz w:val="22"/>
                <w:szCs w:val="22"/>
                <w:lang w:val="it-IT"/>
              </w:rPr>
              <w:t>pct</w:t>
            </w:r>
            <w:proofErr w:type="spellEnd"/>
            <w:r w:rsidRPr="000B038D">
              <w:rPr>
                <w:sz w:val="22"/>
                <w:szCs w:val="22"/>
                <w:lang w:val="it-IT"/>
              </w:rPr>
              <w:t xml:space="preserve">. 20 </w:t>
            </w:r>
            <w:proofErr w:type="spellStart"/>
            <w:r w:rsidRPr="000B038D">
              <w:rPr>
                <w:sz w:val="22"/>
                <w:szCs w:val="22"/>
                <w:lang w:val="it-IT"/>
              </w:rPr>
              <w:t>sbp</w:t>
            </w:r>
            <w:proofErr w:type="spellEnd"/>
            <w:r w:rsidRPr="000B038D">
              <w:rPr>
                <w:sz w:val="22"/>
                <w:szCs w:val="22"/>
                <w:lang w:val="it-IT"/>
              </w:rPr>
              <w:t xml:space="preserve">. 1) </w:t>
            </w:r>
            <w:proofErr w:type="spellStart"/>
            <w:r w:rsidRPr="000B038D">
              <w:rPr>
                <w:sz w:val="22"/>
                <w:szCs w:val="22"/>
                <w:lang w:val="it-IT"/>
              </w:rPr>
              <w:t>din</w:t>
            </w:r>
            <w:proofErr w:type="spellEnd"/>
            <w:r w:rsidRPr="000B038D">
              <w:rPr>
                <w:sz w:val="22"/>
                <w:szCs w:val="22"/>
                <w:lang w:val="it-IT"/>
              </w:rPr>
              <w:t xml:space="preserve"> </w:t>
            </w:r>
            <w:proofErr w:type="spellStart"/>
            <w:r w:rsidRPr="000B038D">
              <w:rPr>
                <w:sz w:val="22"/>
                <w:szCs w:val="22"/>
                <w:lang w:val="it-IT"/>
              </w:rPr>
              <w:t>proiect</w:t>
            </w:r>
            <w:proofErr w:type="spellEnd"/>
            <w:r w:rsidRPr="000B038D">
              <w:rPr>
                <w:sz w:val="22"/>
                <w:szCs w:val="22"/>
                <w:lang w:val="it-IT"/>
              </w:rPr>
              <w:t xml:space="preserve"> cu </w:t>
            </w:r>
            <w:proofErr w:type="spellStart"/>
            <w:r w:rsidRPr="000B038D">
              <w:rPr>
                <w:sz w:val="22"/>
                <w:szCs w:val="22"/>
                <w:lang w:val="it-IT"/>
              </w:rPr>
              <w:t>criterii</w:t>
            </w:r>
            <w:proofErr w:type="spellEnd"/>
            <w:r w:rsidRPr="000B038D">
              <w:rPr>
                <w:sz w:val="22"/>
                <w:szCs w:val="22"/>
                <w:lang w:val="it-IT"/>
              </w:rPr>
              <w:t xml:space="preserve"> </w:t>
            </w:r>
            <w:proofErr w:type="spellStart"/>
            <w:r w:rsidRPr="000B038D">
              <w:rPr>
                <w:sz w:val="22"/>
                <w:szCs w:val="22"/>
                <w:lang w:val="it-IT"/>
              </w:rPr>
              <w:t>clare</w:t>
            </w:r>
            <w:proofErr w:type="spellEnd"/>
            <w:r w:rsidRPr="000B038D">
              <w:rPr>
                <w:sz w:val="22"/>
                <w:szCs w:val="22"/>
                <w:lang w:val="it-IT"/>
              </w:rPr>
              <w:t xml:space="preserve"> </w:t>
            </w:r>
            <w:proofErr w:type="spellStart"/>
            <w:r w:rsidRPr="000B038D">
              <w:rPr>
                <w:sz w:val="22"/>
                <w:szCs w:val="22"/>
                <w:lang w:val="it-IT"/>
              </w:rPr>
              <w:t>și</w:t>
            </w:r>
            <w:proofErr w:type="spellEnd"/>
            <w:r w:rsidRPr="000B038D">
              <w:rPr>
                <w:sz w:val="22"/>
                <w:szCs w:val="22"/>
                <w:lang w:val="it-IT"/>
              </w:rPr>
              <w:t xml:space="preserve"> </w:t>
            </w:r>
            <w:proofErr w:type="spellStart"/>
            <w:r w:rsidRPr="000B038D">
              <w:rPr>
                <w:sz w:val="22"/>
                <w:szCs w:val="22"/>
                <w:lang w:val="it-IT"/>
              </w:rPr>
              <w:t>transparente</w:t>
            </w:r>
            <w:proofErr w:type="spellEnd"/>
            <w:r w:rsidRPr="000B038D">
              <w:rPr>
                <w:sz w:val="22"/>
                <w:szCs w:val="22"/>
                <w:lang w:val="it-IT"/>
              </w:rPr>
              <w:t xml:space="preserve"> </w:t>
            </w:r>
            <w:proofErr w:type="spellStart"/>
            <w:r w:rsidRPr="000B038D">
              <w:rPr>
                <w:sz w:val="22"/>
                <w:szCs w:val="22"/>
                <w:lang w:val="it-IT"/>
              </w:rPr>
              <w:t>pentru</w:t>
            </w:r>
            <w:proofErr w:type="spellEnd"/>
            <w:r w:rsidRPr="000B038D">
              <w:rPr>
                <w:sz w:val="22"/>
                <w:szCs w:val="22"/>
                <w:lang w:val="it-IT"/>
              </w:rPr>
              <w:t xml:space="preserve"> </w:t>
            </w:r>
            <w:proofErr w:type="spellStart"/>
            <w:r w:rsidRPr="000B038D">
              <w:rPr>
                <w:sz w:val="22"/>
                <w:szCs w:val="22"/>
                <w:lang w:val="it-IT"/>
              </w:rPr>
              <w:t>calificarea</w:t>
            </w:r>
            <w:proofErr w:type="spellEnd"/>
            <w:r w:rsidRPr="000B038D">
              <w:rPr>
                <w:sz w:val="22"/>
                <w:szCs w:val="22"/>
                <w:lang w:val="it-IT"/>
              </w:rPr>
              <w:t xml:space="preserve"> </w:t>
            </w:r>
            <w:proofErr w:type="spellStart"/>
            <w:r w:rsidRPr="000B038D">
              <w:rPr>
                <w:sz w:val="22"/>
                <w:szCs w:val="22"/>
                <w:lang w:val="it-IT"/>
              </w:rPr>
              <w:t>unei</w:t>
            </w:r>
            <w:proofErr w:type="spellEnd"/>
            <w:r w:rsidRPr="000B038D">
              <w:rPr>
                <w:sz w:val="22"/>
                <w:szCs w:val="22"/>
                <w:lang w:val="it-IT"/>
              </w:rPr>
              <w:t xml:space="preserve"> </w:t>
            </w:r>
            <w:proofErr w:type="spellStart"/>
            <w:r w:rsidRPr="000B038D">
              <w:rPr>
                <w:sz w:val="22"/>
                <w:szCs w:val="22"/>
                <w:lang w:val="it-IT"/>
              </w:rPr>
              <w:t>bănci</w:t>
            </w:r>
            <w:proofErr w:type="spellEnd"/>
            <w:r w:rsidRPr="000B038D">
              <w:rPr>
                <w:sz w:val="22"/>
                <w:szCs w:val="22"/>
                <w:lang w:val="it-IT"/>
              </w:rPr>
              <w:t xml:space="preserve"> de </w:t>
            </w:r>
            <w:proofErr w:type="spellStart"/>
            <w:r w:rsidRPr="000B038D">
              <w:rPr>
                <w:sz w:val="22"/>
                <w:szCs w:val="22"/>
                <w:lang w:val="it-IT"/>
              </w:rPr>
              <w:t>renume</w:t>
            </w:r>
            <w:proofErr w:type="spellEnd"/>
            <w:r w:rsidRPr="000B038D">
              <w:rPr>
                <w:sz w:val="22"/>
                <w:szCs w:val="22"/>
                <w:lang w:val="it-IT"/>
              </w:rPr>
              <w:t>.</w:t>
            </w:r>
          </w:p>
        </w:tc>
        <w:tc>
          <w:tcPr>
            <w:cnfStyle w:val="000100000000" w:firstRow="0" w:lastRow="0" w:firstColumn="0" w:lastColumn="1" w:oddVBand="0" w:evenVBand="0" w:oddHBand="0" w:evenHBand="0" w:firstRowFirstColumn="0" w:firstRowLastColumn="0" w:lastRowFirstColumn="0" w:lastRowLastColumn="0"/>
            <w:tcW w:w="1042" w:type="pct"/>
            <w:shd w:val="clear" w:color="auto" w:fill="auto"/>
          </w:tcPr>
          <w:p w14:paraId="387DED38" w14:textId="7EF8E58D" w:rsidR="00A520A9" w:rsidRPr="00320CA4" w:rsidRDefault="00A520A9" w:rsidP="00A520A9">
            <w:pPr>
              <w:jc w:val="both"/>
              <w:rPr>
                <w:sz w:val="22"/>
                <w:szCs w:val="22"/>
                <w:lang w:val="ro-MD"/>
              </w:rPr>
            </w:pPr>
            <w:r w:rsidRPr="00320CA4">
              <w:rPr>
                <w:bCs w:val="0"/>
                <w:sz w:val="22"/>
                <w:szCs w:val="22"/>
                <w:lang w:val="it-IT"/>
              </w:rPr>
              <w:t xml:space="preserve">Se </w:t>
            </w:r>
            <w:proofErr w:type="spellStart"/>
            <w:r w:rsidRPr="00320CA4">
              <w:rPr>
                <w:bCs w:val="0"/>
                <w:sz w:val="22"/>
                <w:szCs w:val="22"/>
                <w:lang w:val="it-IT"/>
              </w:rPr>
              <w:t>acceptă</w:t>
            </w:r>
            <w:proofErr w:type="spellEnd"/>
            <w:r w:rsidRPr="00320CA4">
              <w:rPr>
                <w:bCs w:val="0"/>
                <w:sz w:val="22"/>
                <w:szCs w:val="22"/>
                <w:lang w:val="it-IT"/>
              </w:rPr>
              <w:t>.</w:t>
            </w:r>
          </w:p>
        </w:tc>
      </w:tr>
      <w:tr w:rsidR="002D2C68" w:rsidRPr="00B3091C" w14:paraId="1FF70B6E" w14:textId="77777777" w:rsidTr="00B06A7A">
        <w:trPr>
          <w:trHeight w:val="841"/>
        </w:trPr>
        <w:tc>
          <w:tcPr>
            <w:tcW w:w="327" w:type="pct"/>
            <w:shd w:val="clear" w:color="auto" w:fill="auto"/>
            <w:vAlign w:val="center"/>
          </w:tcPr>
          <w:p w14:paraId="00EED8F1" w14:textId="437930C2" w:rsidR="002D2C68" w:rsidRPr="000B038D" w:rsidRDefault="002D2C68" w:rsidP="002D2C68">
            <w:pPr>
              <w:jc w:val="center"/>
              <w:rPr>
                <w:sz w:val="22"/>
                <w:szCs w:val="22"/>
                <w:lang w:val="ro-RO"/>
              </w:rPr>
            </w:pPr>
            <w:r w:rsidRPr="00B539D6">
              <w:rPr>
                <w:sz w:val="22"/>
                <w:szCs w:val="22"/>
                <w:lang w:val="ro-RO"/>
              </w:rPr>
              <w:t>Pct. 25</w:t>
            </w:r>
          </w:p>
        </w:tc>
        <w:tc>
          <w:tcPr>
            <w:tcW w:w="602" w:type="pct"/>
            <w:vAlign w:val="center"/>
          </w:tcPr>
          <w:p w14:paraId="1B506695" w14:textId="7B489977" w:rsidR="002D2C68" w:rsidRPr="00B539D6" w:rsidRDefault="00B06A7A" w:rsidP="002D2C68">
            <w:pPr>
              <w:jc w:val="center"/>
              <w:rPr>
                <w:b/>
                <w:sz w:val="22"/>
                <w:szCs w:val="22"/>
                <w:lang w:val="en-GB"/>
              </w:rPr>
            </w:pPr>
            <w:r>
              <w:rPr>
                <w:sz w:val="22"/>
                <w:szCs w:val="22"/>
                <w:lang w:val="en-GB"/>
              </w:rPr>
              <w:t>„</w:t>
            </w:r>
            <w:proofErr w:type="spellStart"/>
            <w:r w:rsidR="002D2C68" w:rsidRPr="00B539D6">
              <w:rPr>
                <w:sz w:val="22"/>
                <w:szCs w:val="22"/>
                <w:lang w:val="en-GB"/>
              </w:rPr>
              <w:t>Transautogaz</w:t>
            </w:r>
            <w:proofErr w:type="spellEnd"/>
            <w:r>
              <w:rPr>
                <w:sz w:val="22"/>
                <w:szCs w:val="22"/>
                <w:lang w:val="en-GB"/>
              </w:rPr>
              <w:t>”</w:t>
            </w:r>
            <w:r w:rsidR="002D2C68" w:rsidRPr="00B539D6">
              <w:rPr>
                <w:sz w:val="22"/>
                <w:szCs w:val="22"/>
                <w:lang w:val="en-GB"/>
              </w:rPr>
              <w:t xml:space="preserve"> S.R.L.</w:t>
            </w:r>
          </w:p>
          <w:p w14:paraId="660542E1" w14:textId="767C2F61" w:rsidR="002D2C68" w:rsidRPr="000B038D" w:rsidRDefault="002D2C68" w:rsidP="002D2C68">
            <w:pPr>
              <w:jc w:val="center"/>
              <w:rPr>
                <w:sz w:val="22"/>
                <w:szCs w:val="22"/>
                <w:lang w:val="ro-RO"/>
              </w:rPr>
            </w:pPr>
            <w:proofErr w:type="spellStart"/>
            <w:r w:rsidRPr="00B539D6">
              <w:rPr>
                <w:sz w:val="22"/>
                <w:szCs w:val="22"/>
                <w:lang w:val="en-GB"/>
              </w:rPr>
              <w:t>nr</w:t>
            </w:r>
            <w:proofErr w:type="spellEnd"/>
            <w:r w:rsidRPr="00B539D6">
              <w:rPr>
                <w:sz w:val="22"/>
                <w:szCs w:val="22"/>
                <w:lang w:val="en-GB"/>
              </w:rPr>
              <w:t>. 330 din 23 august 2024</w:t>
            </w:r>
          </w:p>
        </w:tc>
        <w:tc>
          <w:tcPr>
            <w:tcW w:w="1309" w:type="pct"/>
          </w:tcPr>
          <w:p w14:paraId="72E3ADD1" w14:textId="1532807F" w:rsidR="002D2C68" w:rsidRPr="000B038D" w:rsidRDefault="002D2C68" w:rsidP="002D2C68">
            <w:pPr>
              <w:tabs>
                <w:tab w:val="left" w:pos="284"/>
                <w:tab w:val="left" w:pos="426"/>
              </w:tabs>
              <w:jc w:val="both"/>
              <w:rPr>
                <w:sz w:val="22"/>
                <w:szCs w:val="22"/>
                <w:lang w:val="ro-MD"/>
              </w:rPr>
            </w:pPr>
            <w:r w:rsidRPr="0096371A">
              <w:rPr>
                <w:sz w:val="22"/>
                <w:szCs w:val="22"/>
                <w:lang w:val="ro-MD"/>
              </w:rPr>
              <w:t>25.</w:t>
            </w:r>
            <w:r w:rsidRPr="0096371A">
              <w:rPr>
                <w:sz w:val="22"/>
                <w:szCs w:val="22"/>
                <w:lang w:val="ro-MD"/>
              </w:rPr>
              <w:tab/>
            </w:r>
            <w:r>
              <w:rPr>
                <w:sz w:val="22"/>
                <w:szCs w:val="22"/>
                <w:lang w:val="ro-MD"/>
              </w:rPr>
              <w:t xml:space="preserve"> </w:t>
            </w:r>
            <w:r w:rsidRPr="0096371A">
              <w:rPr>
                <w:sz w:val="22"/>
                <w:szCs w:val="22"/>
                <w:lang w:val="ro-MD"/>
              </w:rPr>
              <w:t>În cazul în care NG (NG =  P</w:t>
            </w:r>
            <w:r w:rsidRPr="0096371A">
              <w:rPr>
                <w:sz w:val="22"/>
                <w:szCs w:val="22"/>
                <w:vertAlign w:val="subscript"/>
                <w:lang w:val="ro-MD"/>
              </w:rPr>
              <w:t>DN</w:t>
            </w:r>
            <w:r w:rsidRPr="0096371A">
              <w:rPr>
                <w:sz w:val="22"/>
                <w:szCs w:val="22"/>
                <w:lang w:val="ro-MD"/>
              </w:rPr>
              <w:t>) nu acoperă costul dezechilibrului zilnic inițial US este obligat să suplimenteze NG în termen de cel mult 3 zile lucrătoare. În cazul în care US nu suplimentează NG, OST întrerupe accesul la PVT și Platforma Regională de rezervare de capacitate (RBP) cu preaviz de 2 zile. Accesul la PVT și RBP este reluat în momentul în care US suplimentează NG.</w:t>
            </w:r>
          </w:p>
        </w:tc>
        <w:tc>
          <w:tcPr>
            <w:tcW w:w="1719" w:type="pct"/>
            <w:shd w:val="clear" w:color="auto" w:fill="auto"/>
          </w:tcPr>
          <w:p w14:paraId="23902ECD" w14:textId="4D783D1C" w:rsidR="002D2C68" w:rsidRPr="000B038D" w:rsidRDefault="002D2C68" w:rsidP="002D2C68">
            <w:pPr>
              <w:jc w:val="both"/>
              <w:rPr>
                <w:sz w:val="22"/>
                <w:szCs w:val="22"/>
                <w:lang w:val="ro-MD"/>
              </w:rPr>
            </w:pPr>
            <w:r w:rsidRPr="00B539D6">
              <w:rPr>
                <w:sz w:val="22"/>
                <w:szCs w:val="22"/>
                <w:lang w:val="ro-MD"/>
              </w:rPr>
              <w:t xml:space="preserve">pct. 25: </w:t>
            </w:r>
            <w:r>
              <w:rPr>
                <w:sz w:val="22"/>
                <w:szCs w:val="22"/>
                <w:lang w:val="ro-MD"/>
              </w:rPr>
              <w:t>”</w:t>
            </w:r>
            <w:r w:rsidRPr="00B539D6">
              <w:rPr>
                <w:i/>
                <w:sz w:val="22"/>
                <w:szCs w:val="22"/>
                <w:lang w:val="ro-MD"/>
              </w:rPr>
              <w:t xml:space="preserve">In caz de necompletare a NG, OST </w:t>
            </w:r>
            <w:proofErr w:type="spellStart"/>
            <w:r w:rsidRPr="00B539D6">
              <w:rPr>
                <w:i/>
                <w:sz w:val="22"/>
                <w:szCs w:val="22"/>
                <w:lang w:val="ro-MD"/>
              </w:rPr>
              <w:t>intrerupe</w:t>
            </w:r>
            <w:proofErr w:type="spellEnd"/>
            <w:r w:rsidRPr="00B539D6">
              <w:rPr>
                <w:i/>
                <w:sz w:val="22"/>
                <w:szCs w:val="22"/>
                <w:lang w:val="ro-MD"/>
              </w:rPr>
              <w:t xml:space="preserve"> accesul la PVT si RBP cu preaviz de 2 zile.”</w:t>
            </w:r>
            <w:r w:rsidRPr="00B539D6">
              <w:rPr>
                <w:sz w:val="22"/>
                <w:szCs w:val="22"/>
                <w:lang w:val="ro-MD"/>
              </w:rPr>
              <w:t xml:space="preserve"> Vă sugerăm </w:t>
            </w:r>
            <w:proofErr w:type="spellStart"/>
            <w:r w:rsidRPr="00B539D6">
              <w:rPr>
                <w:sz w:val="22"/>
                <w:szCs w:val="22"/>
                <w:lang w:val="ro-MD"/>
              </w:rPr>
              <w:t>sã</w:t>
            </w:r>
            <w:proofErr w:type="spellEnd"/>
            <w:r w:rsidRPr="00B539D6">
              <w:rPr>
                <w:sz w:val="22"/>
                <w:szCs w:val="22"/>
                <w:lang w:val="ro-MD"/>
              </w:rPr>
              <w:t xml:space="preserve"> </w:t>
            </w:r>
            <w:proofErr w:type="spellStart"/>
            <w:r w:rsidRPr="00B539D6">
              <w:rPr>
                <w:sz w:val="22"/>
                <w:szCs w:val="22"/>
                <w:lang w:val="ro-MD"/>
              </w:rPr>
              <w:t>modificati</w:t>
            </w:r>
            <w:proofErr w:type="spellEnd"/>
            <w:r w:rsidRPr="00B539D6">
              <w:rPr>
                <w:sz w:val="22"/>
                <w:szCs w:val="22"/>
                <w:lang w:val="ro-MD"/>
              </w:rPr>
              <w:t xml:space="preserve"> textul pentru a include termenul </w:t>
            </w:r>
            <w:r>
              <w:rPr>
                <w:sz w:val="22"/>
                <w:szCs w:val="22"/>
                <w:lang w:val="ro-MD"/>
              </w:rPr>
              <w:t>„</w:t>
            </w:r>
            <w:proofErr w:type="spellStart"/>
            <w:r w:rsidRPr="00B539D6">
              <w:rPr>
                <w:i/>
                <w:sz w:val="22"/>
                <w:szCs w:val="22"/>
                <w:lang w:val="ro-MD"/>
              </w:rPr>
              <w:t>lucratoare</w:t>
            </w:r>
            <w:proofErr w:type="spellEnd"/>
            <w:r>
              <w:rPr>
                <w:sz w:val="22"/>
                <w:szCs w:val="22"/>
                <w:lang w:val="ro-MD"/>
              </w:rPr>
              <w:t>”,</w:t>
            </w:r>
            <w:r w:rsidRPr="00B539D6">
              <w:rPr>
                <w:sz w:val="22"/>
                <w:szCs w:val="22"/>
                <w:lang w:val="ro-MD"/>
              </w:rPr>
              <w:t xml:space="preserve"> de 2 zile </w:t>
            </w:r>
            <w:proofErr w:type="spellStart"/>
            <w:r w:rsidRPr="00B539D6">
              <w:rPr>
                <w:sz w:val="22"/>
                <w:szCs w:val="22"/>
                <w:lang w:val="ro-MD"/>
              </w:rPr>
              <w:t>lucrãtoare</w:t>
            </w:r>
            <w:proofErr w:type="spellEnd"/>
            <w:r w:rsidRPr="00B539D6">
              <w:rPr>
                <w:sz w:val="22"/>
                <w:szCs w:val="22"/>
                <w:lang w:val="ro-MD"/>
              </w:rPr>
              <w:t>.</w:t>
            </w:r>
          </w:p>
        </w:tc>
        <w:tc>
          <w:tcPr>
            <w:cnfStyle w:val="000100000000" w:firstRow="0" w:lastRow="0" w:firstColumn="0" w:lastColumn="1" w:oddVBand="0" w:evenVBand="0" w:oddHBand="0" w:evenHBand="0" w:firstRowFirstColumn="0" w:firstRowLastColumn="0" w:lastRowFirstColumn="0" w:lastRowLastColumn="0"/>
            <w:tcW w:w="1042" w:type="pct"/>
            <w:shd w:val="clear" w:color="auto" w:fill="auto"/>
          </w:tcPr>
          <w:p w14:paraId="41F2D830" w14:textId="46484615" w:rsidR="009B1157" w:rsidRPr="00320CA4" w:rsidRDefault="0079718A" w:rsidP="004A5248">
            <w:pPr>
              <w:pStyle w:val="BodyText"/>
              <w:widowControl w:val="0"/>
              <w:tabs>
                <w:tab w:val="left" w:pos="426"/>
              </w:tabs>
              <w:autoSpaceDE w:val="0"/>
              <w:autoSpaceDN w:val="0"/>
              <w:spacing w:after="0" w:line="240" w:lineRule="auto"/>
              <w:jc w:val="both"/>
              <w:rPr>
                <w:sz w:val="22"/>
                <w:szCs w:val="22"/>
              </w:rPr>
            </w:pPr>
            <w:r w:rsidRPr="00320CA4">
              <w:rPr>
                <w:sz w:val="22"/>
                <w:szCs w:val="22"/>
              </w:rPr>
              <w:t xml:space="preserve">Se acceptă </w:t>
            </w:r>
            <w:r w:rsidR="004A5248" w:rsidRPr="00320CA4">
              <w:rPr>
                <w:b w:val="0"/>
                <w:sz w:val="22"/>
                <w:szCs w:val="22"/>
              </w:rPr>
              <w:t xml:space="preserve">în următoarea redacție: </w:t>
            </w:r>
          </w:p>
          <w:p w14:paraId="6D603C52" w14:textId="7A4E1049" w:rsidR="002D2C68" w:rsidRPr="00320CA4" w:rsidRDefault="004A5248" w:rsidP="00320CA4">
            <w:pPr>
              <w:pStyle w:val="BodyText"/>
              <w:widowControl w:val="0"/>
              <w:tabs>
                <w:tab w:val="left" w:pos="426"/>
              </w:tabs>
              <w:autoSpaceDE w:val="0"/>
              <w:autoSpaceDN w:val="0"/>
              <w:spacing w:after="0" w:line="240" w:lineRule="auto"/>
              <w:jc w:val="both"/>
              <w:rPr>
                <w:b w:val="0"/>
                <w:i/>
                <w:sz w:val="22"/>
                <w:szCs w:val="22"/>
              </w:rPr>
            </w:pPr>
            <w:r w:rsidRPr="00320CA4">
              <w:rPr>
                <w:b w:val="0"/>
                <w:sz w:val="22"/>
                <w:szCs w:val="22"/>
              </w:rPr>
              <w:t xml:space="preserve">„26. </w:t>
            </w:r>
            <w:r w:rsidR="0079718A" w:rsidRPr="00320CA4">
              <w:rPr>
                <w:sz w:val="22"/>
                <w:szCs w:val="22"/>
              </w:rPr>
              <w:t xml:space="preserve"> </w:t>
            </w:r>
            <w:r w:rsidR="0079718A" w:rsidRPr="00320CA4">
              <w:rPr>
                <w:b w:val="0"/>
                <w:i/>
                <w:sz w:val="22"/>
                <w:szCs w:val="22"/>
              </w:rPr>
              <w:t xml:space="preserve">În cazul în care GF nu acoperă valoarea cumulată a dezechilibrelor zilnice, PRE este obligat să suplimenteze GF în termen de cel mult două zile lucrătoare. În cazul în care PRE nu suplimentează GF, OST, cu preaviz de trei zile lucrătoare, </w:t>
            </w:r>
            <w:r w:rsidR="0079718A" w:rsidRPr="00320CA4">
              <w:rPr>
                <w:b w:val="0"/>
                <w:i/>
                <w:sz w:val="22"/>
                <w:szCs w:val="22"/>
              </w:rPr>
              <w:lastRenderedPageBreak/>
              <w:t>întrerupe accesul la punctul virtual de tranzacționare (în continuare PVT) și la Platforma Regională de rezervare de capacitate (în continuare RBP). Accesul la PVT și RBP este reluat de OST în momentul în care US PRE suplimentează GF.</w:t>
            </w:r>
            <w:r w:rsidRPr="00320CA4">
              <w:rPr>
                <w:b w:val="0"/>
                <w:i/>
                <w:sz w:val="22"/>
                <w:szCs w:val="22"/>
              </w:rPr>
              <w:t>”</w:t>
            </w:r>
            <w:r w:rsidRPr="00320CA4">
              <w:rPr>
                <w:b w:val="0"/>
                <w:sz w:val="22"/>
                <w:szCs w:val="22"/>
              </w:rPr>
              <w:t xml:space="preserve"> </w:t>
            </w:r>
          </w:p>
        </w:tc>
      </w:tr>
      <w:tr w:rsidR="00473E7D" w:rsidRPr="00473E7D" w14:paraId="3B8D1F0E" w14:textId="77777777" w:rsidTr="00B06A7A">
        <w:trPr>
          <w:trHeight w:val="841"/>
        </w:trPr>
        <w:tc>
          <w:tcPr>
            <w:tcW w:w="327" w:type="pct"/>
            <w:shd w:val="clear" w:color="auto" w:fill="auto"/>
            <w:vAlign w:val="center"/>
          </w:tcPr>
          <w:p w14:paraId="6E643B16" w14:textId="77777777" w:rsidR="00473E7D" w:rsidRPr="00473E7D" w:rsidRDefault="00473E7D" w:rsidP="002D2C68">
            <w:pPr>
              <w:jc w:val="center"/>
              <w:rPr>
                <w:sz w:val="22"/>
                <w:szCs w:val="22"/>
                <w:lang w:val="ro-RO"/>
              </w:rPr>
            </w:pPr>
          </w:p>
        </w:tc>
        <w:tc>
          <w:tcPr>
            <w:tcW w:w="602" w:type="pct"/>
            <w:vAlign w:val="center"/>
          </w:tcPr>
          <w:p w14:paraId="163BBD4C" w14:textId="6B8FD7A0" w:rsidR="00473E7D" w:rsidRPr="00473E7D" w:rsidRDefault="00473E7D" w:rsidP="00473E7D">
            <w:pPr>
              <w:rPr>
                <w:sz w:val="22"/>
                <w:szCs w:val="22"/>
                <w:lang w:val="en-GB"/>
              </w:rPr>
            </w:pPr>
            <w:r w:rsidRPr="00473E7D">
              <w:rPr>
                <w:sz w:val="22"/>
                <w:szCs w:val="22"/>
                <w:lang w:val="en-GB"/>
              </w:rPr>
              <w:t xml:space="preserve">SRL </w:t>
            </w:r>
            <w:proofErr w:type="spellStart"/>
            <w:r w:rsidRPr="00473E7D">
              <w:rPr>
                <w:sz w:val="22"/>
                <w:szCs w:val="22"/>
                <w:lang w:val="en-GB"/>
              </w:rPr>
              <w:t>Vestmoldtransgaz</w:t>
            </w:r>
            <w:proofErr w:type="spellEnd"/>
          </w:p>
        </w:tc>
        <w:tc>
          <w:tcPr>
            <w:tcW w:w="1309" w:type="pct"/>
          </w:tcPr>
          <w:p w14:paraId="0CD9BB4B" w14:textId="54778B2B" w:rsidR="00473E7D" w:rsidRPr="00473E7D" w:rsidRDefault="00473E7D" w:rsidP="00473E7D">
            <w:pPr>
              <w:pStyle w:val="BodyText"/>
              <w:widowControl w:val="0"/>
              <w:tabs>
                <w:tab w:val="left" w:pos="426"/>
              </w:tabs>
              <w:autoSpaceDE w:val="0"/>
              <w:autoSpaceDN w:val="0"/>
              <w:spacing w:after="0" w:line="240" w:lineRule="auto"/>
              <w:jc w:val="both"/>
              <w:rPr>
                <w:sz w:val="22"/>
                <w:szCs w:val="22"/>
              </w:rPr>
            </w:pPr>
            <w:r w:rsidRPr="00473E7D">
              <w:rPr>
                <w:sz w:val="22"/>
                <w:szCs w:val="22"/>
              </w:rPr>
              <w:t xml:space="preserve">Dacă, în ultimele </w:t>
            </w:r>
            <w:r w:rsidRPr="00473E7D">
              <w:rPr>
                <w:i/>
                <w:sz w:val="22"/>
                <w:szCs w:val="22"/>
              </w:rPr>
              <w:t>3 luni</w:t>
            </w:r>
            <w:r w:rsidRPr="00473E7D">
              <w:rPr>
                <w:sz w:val="22"/>
                <w:szCs w:val="22"/>
              </w:rPr>
              <w:t xml:space="preserve">, nivelul securității financiare a unei PRE nu a crescut, PRE poate solicita scăderea GF, cu condiția ca PRE să nu aibă facturi restante în cursul anului </w:t>
            </w:r>
            <w:proofErr w:type="spellStart"/>
            <w:r w:rsidRPr="00473E7D">
              <w:rPr>
                <w:sz w:val="22"/>
                <w:szCs w:val="22"/>
              </w:rPr>
              <w:t>gazier</w:t>
            </w:r>
            <w:proofErr w:type="spellEnd"/>
            <w:r w:rsidRPr="00473E7D">
              <w:rPr>
                <w:sz w:val="22"/>
                <w:szCs w:val="22"/>
              </w:rPr>
              <w:t xml:space="preserve"> curent. GF nu poate fi, în niciun caz, mai mică decât nivelul definit la pct. 26 din prezenta Secțiune. </w:t>
            </w:r>
          </w:p>
        </w:tc>
        <w:tc>
          <w:tcPr>
            <w:tcW w:w="1719" w:type="pct"/>
            <w:shd w:val="clear" w:color="auto" w:fill="auto"/>
          </w:tcPr>
          <w:p w14:paraId="12764DB3" w14:textId="77777777" w:rsidR="00473E7D" w:rsidRPr="00473E7D" w:rsidRDefault="00473E7D" w:rsidP="00473E7D">
            <w:pPr>
              <w:pStyle w:val="BodyText"/>
              <w:widowControl w:val="0"/>
              <w:tabs>
                <w:tab w:val="left" w:pos="426"/>
              </w:tabs>
              <w:autoSpaceDE w:val="0"/>
              <w:autoSpaceDN w:val="0"/>
              <w:spacing w:after="0" w:line="240" w:lineRule="auto"/>
              <w:jc w:val="both"/>
              <w:rPr>
                <w:sz w:val="22"/>
                <w:szCs w:val="22"/>
              </w:rPr>
            </w:pPr>
            <w:r w:rsidRPr="00473E7D">
              <w:rPr>
                <w:sz w:val="22"/>
                <w:szCs w:val="22"/>
              </w:rPr>
              <w:t xml:space="preserve">PRE poate solicita scăderea GF, cu condiția ca valoarea dezechilibrului final cumulat înregistrat în cursul lunii anterioare de livrare este mai mică decât nivelul GF constituite și să nu aibă facturi restante în cursul anului </w:t>
            </w:r>
            <w:proofErr w:type="spellStart"/>
            <w:r w:rsidRPr="00473E7D">
              <w:rPr>
                <w:sz w:val="22"/>
                <w:szCs w:val="22"/>
              </w:rPr>
              <w:t>gazier</w:t>
            </w:r>
            <w:proofErr w:type="spellEnd"/>
            <w:r w:rsidRPr="00473E7D">
              <w:rPr>
                <w:sz w:val="22"/>
                <w:szCs w:val="22"/>
              </w:rPr>
              <w:t xml:space="preserve"> curent. GF nu poate fi mai mică decât nivelul definit la pct. 24 din prezenta Secțiune.</w:t>
            </w:r>
          </w:p>
          <w:p w14:paraId="17F2E5F2" w14:textId="77777777" w:rsidR="00473E7D" w:rsidRPr="00473E7D" w:rsidRDefault="00473E7D" w:rsidP="002D2C68">
            <w:pPr>
              <w:jc w:val="both"/>
              <w:rPr>
                <w:sz w:val="22"/>
                <w:szCs w:val="22"/>
                <w:lang w:val="ro-RO"/>
              </w:rPr>
            </w:pPr>
          </w:p>
        </w:tc>
        <w:tc>
          <w:tcPr>
            <w:cnfStyle w:val="000100000000" w:firstRow="0" w:lastRow="0" w:firstColumn="0" w:lastColumn="1" w:oddVBand="0" w:evenVBand="0" w:oddHBand="0" w:evenHBand="0" w:firstRowFirstColumn="0" w:firstRowLastColumn="0" w:lastRowFirstColumn="0" w:lastRowLastColumn="0"/>
            <w:tcW w:w="1042" w:type="pct"/>
            <w:shd w:val="clear" w:color="auto" w:fill="auto"/>
          </w:tcPr>
          <w:p w14:paraId="5C6C2325" w14:textId="6985C293" w:rsidR="00473E7D" w:rsidRPr="00B3091C" w:rsidRDefault="00473E7D" w:rsidP="004A5248">
            <w:pPr>
              <w:pStyle w:val="BodyText"/>
              <w:widowControl w:val="0"/>
              <w:tabs>
                <w:tab w:val="left" w:pos="426"/>
              </w:tabs>
              <w:autoSpaceDE w:val="0"/>
              <w:autoSpaceDN w:val="0"/>
              <w:spacing w:after="0" w:line="240" w:lineRule="auto"/>
              <w:jc w:val="both"/>
              <w:rPr>
                <w:sz w:val="22"/>
                <w:szCs w:val="22"/>
              </w:rPr>
            </w:pPr>
            <w:r w:rsidRPr="00E64844">
              <w:rPr>
                <w:sz w:val="22"/>
                <w:szCs w:val="22"/>
              </w:rPr>
              <w:t>Se acceptă.</w:t>
            </w:r>
          </w:p>
        </w:tc>
      </w:tr>
      <w:tr w:rsidR="00473E7D" w:rsidRPr="00473E7D" w14:paraId="3A74C866" w14:textId="77777777" w:rsidTr="00473E7D">
        <w:trPr>
          <w:trHeight w:val="841"/>
        </w:trPr>
        <w:tc>
          <w:tcPr>
            <w:tcW w:w="327" w:type="pct"/>
            <w:shd w:val="clear" w:color="auto" w:fill="auto"/>
            <w:vAlign w:val="center"/>
          </w:tcPr>
          <w:p w14:paraId="4B5529FE" w14:textId="77777777" w:rsidR="00473E7D" w:rsidRPr="00473E7D" w:rsidRDefault="00473E7D" w:rsidP="002D2C68">
            <w:pPr>
              <w:jc w:val="center"/>
              <w:rPr>
                <w:sz w:val="22"/>
                <w:szCs w:val="22"/>
                <w:lang w:val="ro-RO"/>
              </w:rPr>
            </w:pPr>
          </w:p>
        </w:tc>
        <w:tc>
          <w:tcPr>
            <w:tcW w:w="602" w:type="pct"/>
            <w:vAlign w:val="center"/>
          </w:tcPr>
          <w:p w14:paraId="1D38E405" w14:textId="13749B74" w:rsidR="00473E7D" w:rsidRPr="00473E7D" w:rsidRDefault="00473E7D" w:rsidP="00473E7D">
            <w:pPr>
              <w:rPr>
                <w:sz w:val="22"/>
                <w:szCs w:val="22"/>
                <w:lang w:val="en-GB"/>
              </w:rPr>
            </w:pPr>
            <w:proofErr w:type="spellStart"/>
            <w:r>
              <w:rPr>
                <w:sz w:val="22"/>
                <w:szCs w:val="22"/>
                <w:lang w:val="en-GB"/>
              </w:rPr>
              <w:t>Ministerul</w:t>
            </w:r>
            <w:proofErr w:type="spellEnd"/>
            <w:r>
              <w:rPr>
                <w:sz w:val="22"/>
                <w:szCs w:val="22"/>
                <w:lang w:val="en-GB"/>
              </w:rPr>
              <w:t xml:space="preserve"> </w:t>
            </w:r>
            <w:proofErr w:type="spellStart"/>
            <w:r>
              <w:rPr>
                <w:sz w:val="22"/>
                <w:szCs w:val="22"/>
                <w:lang w:val="en-GB"/>
              </w:rPr>
              <w:t>Justiției</w:t>
            </w:r>
            <w:proofErr w:type="spellEnd"/>
            <w:r>
              <w:rPr>
                <w:sz w:val="22"/>
                <w:szCs w:val="22"/>
                <w:lang w:val="en-GB"/>
              </w:rPr>
              <w:t xml:space="preserve"> </w:t>
            </w:r>
          </w:p>
        </w:tc>
        <w:tc>
          <w:tcPr>
            <w:tcW w:w="3028" w:type="pct"/>
            <w:gridSpan w:val="2"/>
          </w:tcPr>
          <w:p w14:paraId="7B2E0F12" w14:textId="77777777" w:rsidR="00473E7D" w:rsidRPr="00473E7D" w:rsidRDefault="00473E7D" w:rsidP="00473E7D">
            <w:pPr>
              <w:jc w:val="both"/>
              <w:rPr>
                <w:b/>
                <w:i/>
                <w:iCs/>
                <w:sz w:val="22"/>
                <w:szCs w:val="22"/>
                <w:lang w:val="ro-MD"/>
              </w:rPr>
            </w:pPr>
            <w:r w:rsidRPr="00473E7D">
              <w:rPr>
                <w:i/>
                <w:iCs/>
                <w:sz w:val="22"/>
                <w:szCs w:val="22"/>
                <w:lang w:val="ro-MD"/>
              </w:rPr>
              <w:t>La proiectul hotărârii:</w:t>
            </w:r>
          </w:p>
          <w:p w14:paraId="310522E5" w14:textId="77777777" w:rsidR="00473E7D" w:rsidRPr="00473E7D" w:rsidRDefault="00473E7D" w:rsidP="00473E7D">
            <w:pPr>
              <w:jc w:val="both"/>
              <w:rPr>
                <w:b/>
                <w:iCs/>
                <w:sz w:val="22"/>
                <w:szCs w:val="22"/>
                <w:lang w:val="ro-MD"/>
              </w:rPr>
            </w:pPr>
            <w:r w:rsidRPr="00473E7D">
              <w:rPr>
                <w:iCs/>
                <w:sz w:val="22"/>
                <w:szCs w:val="22"/>
                <w:lang w:val="ro-MD"/>
              </w:rPr>
              <w:t>La pct. 1 textul „ , conform anexei” se va substitui cu textul „(se anexează)”, conform uzanțelor.</w:t>
            </w:r>
          </w:p>
          <w:p w14:paraId="2D1880B0" w14:textId="18FD1B45" w:rsidR="00473E7D" w:rsidRPr="00473E7D" w:rsidRDefault="00473E7D" w:rsidP="00473E7D">
            <w:pPr>
              <w:jc w:val="both"/>
              <w:rPr>
                <w:rFonts w:eastAsia="Calibri"/>
                <w:b/>
                <w:sz w:val="22"/>
                <w:szCs w:val="22"/>
                <w:lang w:val="ro-MD"/>
              </w:rPr>
            </w:pPr>
            <w:r w:rsidRPr="00473E7D">
              <w:rPr>
                <w:iCs/>
                <w:sz w:val="22"/>
                <w:szCs w:val="22"/>
                <w:lang w:val="ro-MD"/>
              </w:rPr>
              <w:t xml:space="preserve">La pct. 2 </w:t>
            </w:r>
            <w:r w:rsidRPr="00473E7D">
              <w:rPr>
                <w:sz w:val="22"/>
                <w:szCs w:val="22"/>
                <w:lang w:val="ro-MD"/>
              </w:rPr>
              <w:t xml:space="preserve">semnalăm </w:t>
            </w:r>
            <w:r w:rsidRPr="00473E7D">
              <w:rPr>
                <w:rFonts w:eastAsia="Calibri"/>
                <w:sz w:val="22"/>
                <w:szCs w:val="22"/>
                <w:lang w:val="ro-MD"/>
              </w:rPr>
              <w:t xml:space="preserve">că, regula generală privind intrarea în vigoare a actelor normative, statuată în art. 56 alin. (1) din </w:t>
            </w:r>
            <w:r w:rsidRPr="00473E7D">
              <w:rPr>
                <w:rFonts w:eastAsia="Calibri"/>
                <w:i/>
                <w:iCs/>
                <w:sz w:val="22"/>
                <w:szCs w:val="22"/>
                <w:lang w:val="ro-MD"/>
              </w:rPr>
              <w:t>Legea nr. 100/2017 cu privire la actele normative</w:t>
            </w:r>
            <w:r w:rsidRPr="00473E7D">
              <w:rPr>
                <w:rFonts w:eastAsia="Calibri"/>
                <w:sz w:val="22"/>
                <w:szCs w:val="22"/>
                <w:lang w:val="ro-MD"/>
              </w:rPr>
              <w:t>, prevede că actele normative intră în vigoare peste o lună de la data publicării în Monitorul Oficial al Republicii Moldova. Astfel, intrarea în vigoare a actului normativ la data publicării trebuie să fie argumentată în nota de fundamentare.</w:t>
            </w:r>
          </w:p>
          <w:p w14:paraId="200D9D15" w14:textId="77777777" w:rsidR="00473E7D" w:rsidRPr="00473E7D" w:rsidRDefault="00473E7D" w:rsidP="00473E7D">
            <w:pPr>
              <w:jc w:val="both"/>
              <w:rPr>
                <w:b/>
                <w:i/>
                <w:iCs/>
                <w:sz w:val="22"/>
                <w:szCs w:val="22"/>
                <w:lang w:val="ro-MD"/>
              </w:rPr>
            </w:pPr>
            <w:r w:rsidRPr="00473E7D">
              <w:rPr>
                <w:i/>
                <w:iCs/>
                <w:sz w:val="22"/>
                <w:szCs w:val="22"/>
                <w:lang w:val="ro-MD"/>
              </w:rPr>
              <w:t>La proiectul Metodologiei:</w:t>
            </w:r>
          </w:p>
          <w:p w14:paraId="454FEA7F" w14:textId="77777777" w:rsidR="00473E7D" w:rsidRPr="00473E7D" w:rsidRDefault="00473E7D" w:rsidP="00473E7D">
            <w:pPr>
              <w:jc w:val="both"/>
              <w:rPr>
                <w:b/>
                <w:sz w:val="22"/>
                <w:szCs w:val="22"/>
                <w:lang w:val="ro-MD"/>
              </w:rPr>
            </w:pPr>
            <w:r w:rsidRPr="00473E7D">
              <w:rPr>
                <w:sz w:val="22"/>
                <w:szCs w:val="22"/>
                <w:lang w:val="ro-MD"/>
              </w:rPr>
              <w:t>Întru corectitudinea redactării, în parafa de aprobare, cuvântul „Aprobat” se va substitui cu cuvântul „Aprobată”, iar textul „nr.___din___2024” se va substitui cu textul „nr.___/2024”.</w:t>
            </w:r>
          </w:p>
          <w:p w14:paraId="25E3E8FF" w14:textId="77777777" w:rsidR="00473E7D" w:rsidRPr="00473E7D" w:rsidRDefault="00473E7D" w:rsidP="00473E7D">
            <w:pPr>
              <w:jc w:val="both"/>
              <w:rPr>
                <w:b/>
                <w:iCs/>
                <w:sz w:val="22"/>
                <w:szCs w:val="22"/>
                <w:lang w:val="ro-MD"/>
              </w:rPr>
            </w:pPr>
            <w:r w:rsidRPr="00473E7D">
              <w:rPr>
                <w:iCs/>
                <w:sz w:val="22"/>
                <w:szCs w:val="22"/>
                <w:lang w:val="ro-MD"/>
              </w:rPr>
              <w:t xml:space="preserve">La pct. 1, precum și în continuarea textului, referința la abrevieri se va expune conform prevederilor art. 54 alin. (1) lit. i) din </w:t>
            </w:r>
            <w:r w:rsidRPr="00473E7D">
              <w:rPr>
                <w:i/>
                <w:sz w:val="22"/>
                <w:szCs w:val="22"/>
                <w:lang w:val="ro-MD"/>
              </w:rPr>
              <w:t>Legea nr. 100/2017</w:t>
            </w:r>
            <w:r w:rsidRPr="00473E7D">
              <w:rPr>
                <w:iCs/>
                <w:sz w:val="22"/>
                <w:szCs w:val="22"/>
                <w:lang w:val="ro-MD"/>
              </w:rPr>
              <w:t>, potrivi căruia exprimarea prin abrevieri a unor denumiri sau termeni se poate face numai după explicarea acestora în text, la prima folosire.</w:t>
            </w:r>
          </w:p>
          <w:p w14:paraId="336E56D4" w14:textId="77777777" w:rsidR="00473E7D" w:rsidRPr="00473E7D" w:rsidRDefault="00473E7D" w:rsidP="00473E7D">
            <w:pPr>
              <w:jc w:val="both"/>
              <w:rPr>
                <w:b/>
                <w:iCs/>
                <w:sz w:val="22"/>
                <w:szCs w:val="22"/>
                <w:lang w:val="ro-MD"/>
              </w:rPr>
            </w:pPr>
            <w:r w:rsidRPr="00473E7D">
              <w:rPr>
                <w:iCs/>
                <w:sz w:val="22"/>
                <w:szCs w:val="22"/>
                <w:lang w:val="ro-MD"/>
              </w:rPr>
              <w:t xml:space="preserve">La pct. 18 și 19, semnalăm caracterul imprecis al normei, prin urmare, recomandăm să fie indicat unde operatorul sistemului de transport (OST) va publica rata de neutralitate a lunii, precum și informațiile privind calculul soldului contului de neutralitate </w:t>
            </w:r>
            <w:proofErr w:type="spellStart"/>
            <w:r w:rsidRPr="00473E7D">
              <w:rPr>
                <w:iCs/>
                <w:sz w:val="22"/>
                <w:szCs w:val="22"/>
                <w:lang w:val="ro-MD"/>
              </w:rPr>
              <w:t>şi</w:t>
            </w:r>
            <w:proofErr w:type="spellEnd"/>
            <w:r w:rsidRPr="00473E7D">
              <w:rPr>
                <w:iCs/>
                <w:sz w:val="22"/>
                <w:szCs w:val="22"/>
                <w:lang w:val="ro-MD"/>
              </w:rPr>
              <w:t xml:space="preserve"> cantitățile de gaze naturale transportate prin sistemul de transport în </w:t>
            </w:r>
            <w:r w:rsidRPr="00473E7D">
              <w:rPr>
                <w:i/>
                <w:iCs/>
                <w:sz w:val="22"/>
                <w:szCs w:val="22"/>
                <w:lang w:val="ro-MD"/>
              </w:rPr>
              <w:t>decursul</w:t>
            </w:r>
            <w:r w:rsidRPr="00473E7D">
              <w:rPr>
                <w:iCs/>
                <w:sz w:val="22"/>
                <w:szCs w:val="22"/>
                <w:lang w:val="ro-MD"/>
              </w:rPr>
              <w:t xml:space="preserve"> </w:t>
            </w:r>
            <w:r w:rsidRPr="00473E7D">
              <w:rPr>
                <w:i/>
                <w:iCs/>
                <w:sz w:val="22"/>
                <w:szCs w:val="22"/>
                <w:lang w:val="ro-MD"/>
              </w:rPr>
              <w:t>lunii</w:t>
            </w:r>
            <w:r w:rsidRPr="00473E7D">
              <w:rPr>
                <w:iCs/>
                <w:sz w:val="22"/>
                <w:szCs w:val="22"/>
                <w:lang w:val="ro-MD"/>
              </w:rPr>
              <w:t xml:space="preserve"> (în anexele nr. 1 și nr. 2 expresia „cursul lunii” se va substitui cu expresia „decursul lunii”)..</w:t>
            </w:r>
          </w:p>
          <w:p w14:paraId="2B05D4D7" w14:textId="77777777" w:rsidR="00473E7D" w:rsidRPr="00473E7D" w:rsidRDefault="00473E7D" w:rsidP="00473E7D">
            <w:pPr>
              <w:jc w:val="both"/>
              <w:rPr>
                <w:b/>
                <w:sz w:val="22"/>
                <w:szCs w:val="22"/>
                <w:lang w:val="ro-MD"/>
              </w:rPr>
            </w:pPr>
            <w:r w:rsidRPr="00473E7D">
              <w:rPr>
                <w:color w:val="000000"/>
                <w:sz w:val="22"/>
                <w:szCs w:val="22"/>
                <w:lang w:val="en-US"/>
              </w:rPr>
              <w:t xml:space="preserve">La </w:t>
            </w:r>
            <w:r w:rsidRPr="00473E7D">
              <w:rPr>
                <w:color w:val="000000"/>
                <w:sz w:val="22"/>
                <w:szCs w:val="22"/>
                <w:lang w:val="ro-MD"/>
              </w:rPr>
              <w:t>pct. 19</w:t>
            </w:r>
            <w:r w:rsidRPr="00473E7D">
              <w:rPr>
                <w:color w:val="000000"/>
                <w:sz w:val="22"/>
                <w:szCs w:val="22"/>
                <w:lang w:val="en-US"/>
              </w:rPr>
              <w:t xml:space="preserve"> se </w:t>
            </w:r>
            <w:proofErr w:type="spellStart"/>
            <w:r w:rsidRPr="00473E7D">
              <w:rPr>
                <w:color w:val="000000"/>
                <w:sz w:val="22"/>
                <w:szCs w:val="22"/>
                <w:lang w:val="en-US"/>
              </w:rPr>
              <w:t>vor</w:t>
            </w:r>
            <w:proofErr w:type="spellEnd"/>
            <w:r w:rsidRPr="00473E7D">
              <w:rPr>
                <w:color w:val="000000"/>
                <w:sz w:val="22"/>
                <w:szCs w:val="22"/>
                <w:lang w:val="en-US"/>
              </w:rPr>
              <w:t xml:space="preserve"> exclude </w:t>
            </w:r>
            <w:proofErr w:type="spellStart"/>
            <w:r w:rsidRPr="00473E7D">
              <w:rPr>
                <w:color w:val="000000"/>
                <w:sz w:val="22"/>
                <w:szCs w:val="22"/>
                <w:lang w:val="en-US"/>
              </w:rPr>
              <w:t>cuvintele</w:t>
            </w:r>
            <w:proofErr w:type="spellEnd"/>
            <w:r w:rsidRPr="00473E7D">
              <w:rPr>
                <w:color w:val="000000"/>
                <w:sz w:val="22"/>
                <w:szCs w:val="22"/>
                <w:lang w:val="en-US"/>
              </w:rPr>
              <w:t xml:space="preserve"> „</w:t>
            </w:r>
            <w:r w:rsidRPr="00473E7D">
              <w:rPr>
                <w:color w:val="000000"/>
                <w:sz w:val="22"/>
                <w:szCs w:val="22"/>
                <w:lang w:val="ro-MD"/>
              </w:rPr>
              <w:t>l</w:t>
            </w:r>
            <w:r w:rsidRPr="00473E7D">
              <w:rPr>
                <w:color w:val="000000"/>
                <w:sz w:val="22"/>
                <w:szCs w:val="22"/>
                <w:lang w:val="en-US"/>
              </w:rPr>
              <w:t xml:space="preserve">a </w:t>
            </w:r>
            <w:proofErr w:type="spellStart"/>
            <w:r w:rsidRPr="00473E7D">
              <w:rPr>
                <w:color w:val="000000"/>
                <w:sz w:val="22"/>
                <w:szCs w:val="22"/>
                <w:lang w:val="en-US"/>
              </w:rPr>
              <w:t>prezent</w:t>
            </w:r>
            <w:proofErr w:type="spellEnd"/>
            <w:r w:rsidRPr="00473E7D">
              <w:rPr>
                <w:color w:val="000000"/>
                <w:sz w:val="22"/>
                <w:szCs w:val="22"/>
                <w:lang w:val="ro-MD"/>
              </w:rPr>
              <w:t>a</w:t>
            </w:r>
            <w:r w:rsidRPr="00473E7D">
              <w:rPr>
                <w:color w:val="000000"/>
                <w:sz w:val="22"/>
                <w:szCs w:val="22"/>
                <w:lang w:val="en-US"/>
              </w:rPr>
              <w:t xml:space="preserve"> </w:t>
            </w:r>
            <w:proofErr w:type="spellStart"/>
            <w:r w:rsidRPr="00473E7D">
              <w:rPr>
                <w:color w:val="000000"/>
                <w:sz w:val="22"/>
                <w:szCs w:val="22"/>
                <w:lang w:val="en-US"/>
              </w:rPr>
              <w:t>Metodologi</w:t>
            </w:r>
            <w:proofErr w:type="spellEnd"/>
            <w:r w:rsidRPr="00473E7D">
              <w:rPr>
                <w:color w:val="000000"/>
                <w:sz w:val="22"/>
                <w:szCs w:val="22"/>
                <w:lang w:val="ro-MD"/>
              </w:rPr>
              <w:t>e</w:t>
            </w:r>
            <w:r w:rsidRPr="00473E7D">
              <w:rPr>
                <w:color w:val="000000"/>
                <w:sz w:val="22"/>
                <w:szCs w:val="22"/>
                <w:lang w:val="en-US"/>
              </w:rPr>
              <w:t xml:space="preserve">”, </w:t>
            </w:r>
            <w:r w:rsidRPr="00473E7D">
              <w:rPr>
                <w:sz w:val="22"/>
                <w:szCs w:val="22"/>
                <w:lang w:val="en-US"/>
              </w:rPr>
              <w:t xml:space="preserve">or, </w:t>
            </w:r>
            <w:proofErr w:type="spellStart"/>
            <w:r w:rsidRPr="00473E7D">
              <w:rPr>
                <w:sz w:val="22"/>
                <w:szCs w:val="22"/>
                <w:lang w:val="en-US"/>
              </w:rPr>
              <w:t>în</w:t>
            </w:r>
            <w:proofErr w:type="spellEnd"/>
            <w:r w:rsidRPr="00473E7D">
              <w:rPr>
                <w:sz w:val="22"/>
                <w:szCs w:val="22"/>
                <w:lang w:val="en-US"/>
              </w:rPr>
              <w:t xml:space="preserve"> </w:t>
            </w:r>
            <w:proofErr w:type="spellStart"/>
            <w:r w:rsidRPr="00473E7D">
              <w:rPr>
                <w:sz w:val="22"/>
                <w:szCs w:val="22"/>
                <w:lang w:val="en-US"/>
              </w:rPr>
              <w:t>conformitate</w:t>
            </w:r>
            <w:proofErr w:type="spellEnd"/>
            <w:r w:rsidRPr="00473E7D">
              <w:rPr>
                <w:sz w:val="22"/>
                <w:szCs w:val="22"/>
                <w:lang w:val="en-US"/>
              </w:rPr>
              <w:t xml:space="preserve"> cu art. 55 </w:t>
            </w:r>
            <w:proofErr w:type="spellStart"/>
            <w:r w:rsidRPr="00473E7D">
              <w:rPr>
                <w:sz w:val="22"/>
                <w:szCs w:val="22"/>
                <w:lang w:val="en-US"/>
              </w:rPr>
              <w:t>alin</w:t>
            </w:r>
            <w:proofErr w:type="spellEnd"/>
            <w:r w:rsidRPr="00473E7D">
              <w:rPr>
                <w:sz w:val="22"/>
                <w:szCs w:val="22"/>
                <w:lang w:val="en-US"/>
              </w:rPr>
              <w:t xml:space="preserve">. (4) din </w:t>
            </w:r>
            <w:proofErr w:type="spellStart"/>
            <w:r w:rsidRPr="00473E7D">
              <w:rPr>
                <w:i/>
                <w:sz w:val="22"/>
                <w:szCs w:val="22"/>
                <w:lang w:val="en-US"/>
              </w:rPr>
              <w:t>Legea</w:t>
            </w:r>
            <w:proofErr w:type="spellEnd"/>
            <w:r w:rsidRPr="00473E7D">
              <w:rPr>
                <w:i/>
                <w:sz w:val="22"/>
                <w:szCs w:val="22"/>
                <w:lang w:val="en-US"/>
              </w:rPr>
              <w:t xml:space="preserve"> </w:t>
            </w:r>
            <w:proofErr w:type="spellStart"/>
            <w:r w:rsidRPr="00473E7D">
              <w:rPr>
                <w:i/>
                <w:sz w:val="22"/>
                <w:szCs w:val="22"/>
                <w:lang w:val="en-US"/>
              </w:rPr>
              <w:t>nr</w:t>
            </w:r>
            <w:proofErr w:type="spellEnd"/>
            <w:r w:rsidRPr="00473E7D">
              <w:rPr>
                <w:i/>
                <w:sz w:val="22"/>
                <w:szCs w:val="22"/>
                <w:lang w:val="en-US"/>
              </w:rPr>
              <w:t>. 100/2017</w:t>
            </w:r>
            <w:r w:rsidRPr="00473E7D">
              <w:rPr>
                <w:sz w:val="22"/>
                <w:szCs w:val="22"/>
                <w:lang w:val="en-US"/>
              </w:rPr>
              <w:t xml:space="preserve">, </w:t>
            </w:r>
            <w:proofErr w:type="spellStart"/>
            <w:r w:rsidRPr="00473E7D">
              <w:rPr>
                <w:sz w:val="22"/>
                <w:szCs w:val="22"/>
                <w:lang w:val="en-US"/>
              </w:rPr>
              <w:t>în</w:t>
            </w:r>
            <w:proofErr w:type="spellEnd"/>
            <w:r w:rsidRPr="00473E7D">
              <w:rPr>
                <w:sz w:val="22"/>
                <w:szCs w:val="22"/>
                <w:lang w:val="en-US"/>
              </w:rPr>
              <w:t xml:space="preserve"> </w:t>
            </w:r>
            <w:proofErr w:type="spellStart"/>
            <w:r w:rsidRPr="00473E7D">
              <w:rPr>
                <w:sz w:val="22"/>
                <w:szCs w:val="22"/>
                <w:lang w:val="en-US"/>
              </w:rPr>
              <w:t>cazul</w:t>
            </w:r>
            <w:proofErr w:type="spellEnd"/>
            <w:r w:rsidRPr="00473E7D">
              <w:rPr>
                <w:sz w:val="22"/>
                <w:szCs w:val="22"/>
                <w:lang w:val="en-US"/>
              </w:rPr>
              <w:t xml:space="preserve"> </w:t>
            </w:r>
            <w:proofErr w:type="spellStart"/>
            <w:r w:rsidRPr="00473E7D">
              <w:rPr>
                <w:sz w:val="22"/>
                <w:szCs w:val="22"/>
                <w:lang w:val="en-US"/>
              </w:rPr>
              <w:t>în</w:t>
            </w:r>
            <w:proofErr w:type="spellEnd"/>
            <w:r w:rsidRPr="00473E7D">
              <w:rPr>
                <w:sz w:val="22"/>
                <w:szCs w:val="22"/>
                <w:lang w:val="en-US"/>
              </w:rPr>
              <w:t xml:space="preserve"> care se face </w:t>
            </w:r>
            <w:proofErr w:type="spellStart"/>
            <w:r w:rsidRPr="00473E7D">
              <w:rPr>
                <w:sz w:val="22"/>
                <w:szCs w:val="22"/>
                <w:lang w:val="en-US"/>
              </w:rPr>
              <w:t>trimitere</w:t>
            </w:r>
            <w:proofErr w:type="spellEnd"/>
            <w:r w:rsidRPr="00473E7D">
              <w:rPr>
                <w:sz w:val="22"/>
                <w:szCs w:val="22"/>
                <w:lang w:val="en-US"/>
              </w:rPr>
              <w:t xml:space="preserve"> la o </w:t>
            </w:r>
            <w:proofErr w:type="spellStart"/>
            <w:r w:rsidRPr="00473E7D">
              <w:rPr>
                <w:sz w:val="22"/>
                <w:szCs w:val="22"/>
                <w:lang w:val="en-US"/>
              </w:rPr>
              <w:t>normă</w:t>
            </w:r>
            <w:proofErr w:type="spellEnd"/>
            <w:r w:rsidRPr="00473E7D">
              <w:rPr>
                <w:sz w:val="22"/>
                <w:szCs w:val="22"/>
                <w:lang w:val="en-US"/>
              </w:rPr>
              <w:t xml:space="preserve"> </w:t>
            </w:r>
            <w:proofErr w:type="spellStart"/>
            <w:r w:rsidRPr="00473E7D">
              <w:rPr>
                <w:sz w:val="22"/>
                <w:szCs w:val="22"/>
                <w:lang w:val="en-US"/>
              </w:rPr>
              <w:t>juridică</w:t>
            </w:r>
            <w:proofErr w:type="spellEnd"/>
            <w:r w:rsidRPr="00473E7D">
              <w:rPr>
                <w:sz w:val="22"/>
                <w:szCs w:val="22"/>
                <w:lang w:val="en-US"/>
              </w:rPr>
              <w:t xml:space="preserve"> care </w:t>
            </w:r>
            <w:proofErr w:type="spellStart"/>
            <w:r w:rsidRPr="00473E7D">
              <w:rPr>
                <w:sz w:val="22"/>
                <w:szCs w:val="22"/>
                <w:lang w:val="en-US"/>
              </w:rPr>
              <w:t>este</w:t>
            </w:r>
            <w:proofErr w:type="spellEnd"/>
            <w:r w:rsidRPr="00473E7D">
              <w:rPr>
                <w:sz w:val="22"/>
                <w:szCs w:val="22"/>
                <w:lang w:val="en-US"/>
              </w:rPr>
              <w:t xml:space="preserve"> </w:t>
            </w:r>
            <w:proofErr w:type="spellStart"/>
            <w:r w:rsidRPr="00473E7D">
              <w:rPr>
                <w:sz w:val="22"/>
                <w:szCs w:val="22"/>
                <w:lang w:val="en-US"/>
              </w:rPr>
              <w:t>stabilită</w:t>
            </w:r>
            <w:proofErr w:type="spellEnd"/>
            <w:r w:rsidRPr="00473E7D">
              <w:rPr>
                <w:sz w:val="22"/>
                <w:szCs w:val="22"/>
                <w:lang w:val="en-US"/>
              </w:rPr>
              <w:t xml:space="preserve"> </w:t>
            </w:r>
            <w:proofErr w:type="spellStart"/>
            <w:r w:rsidRPr="00473E7D">
              <w:rPr>
                <w:sz w:val="22"/>
                <w:szCs w:val="22"/>
                <w:lang w:val="en-US"/>
              </w:rPr>
              <w:t>în</w:t>
            </w:r>
            <w:proofErr w:type="spellEnd"/>
            <w:r w:rsidRPr="00473E7D">
              <w:rPr>
                <w:sz w:val="22"/>
                <w:szCs w:val="22"/>
                <w:lang w:val="en-US"/>
              </w:rPr>
              <w:t xml:space="preserve"> </w:t>
            </w:r>
            <w:proofErr w:type="spellStart"/>
            <w:r w:rsidRPr="00473E7D">
              <w:rPr>
                <w:sz w:val="22"/>
                <w:szCs w:val="22"/>
                <w:lang w:val="en-US"/>
              </w:rPr>
              <w:t>același</w:t>
            </w:r>
            <w:proofErr w:type="spellEnd"/>
            <w:r w:rsidRPr="00473E7D">
              <w:rPr>
                <w:sz w:val="22"/>
                <w:szCs w:val="22"/>
                <w:lang w:val="en-US"/>
              </w:rPr>
              <w:t xml:space="preserve"> act </w:t>
            </w:r>
            <w:proofErr w:type="spellStart"/>
            <w:r w:rsidRPr="00473E7D">
              <w:rPr>
                <w:sz w:val="22"/>
                <w:szCs w:val="22"/>
                <w:lang w:val="en-US"/>
              </w:rPr>
              <w:t>normativ</w:t>
            </w:r>
            <w:proofErr w:type="spellEnd"/>
            <w:r w:rsidRPr="00473E7D">
              <w:rPr>
                <w:sz w:val="22"/>
                <w:szCs w:val="22"/>
                <w:lang w:val="en-US"/>
              </w:rPr>
              <w:t xml:space="preserve">, </w:t>
            </w:r>
            <w:proofErr w:type="spellStart"/>
            <w:r w:rsidRPr="00473E7D">
              <w:rPr>
                <w:sz w:val="22"/>
                <w:szCs w:val="22"/>
                <w:lang w:val="en-US"/>
              </w:rPr>
              <w:t>pentru</w:t>
            </w:r>
            <w:proofErr w:type="spellEnd"/>
            <w:r w:rsidRPr="00473E7D">
              <w:rPr>
                <w:sz w:val="22"/>
                <w:szCs w:val="22"/>
                <w:lang w:val="en-US"/>
              </w:rPr>
              <w:t xml:space="preserve"> </w:t>
            </w:r>
            <w:proofErr w:type="spellStart"/>
            <w:r w:rsidRPr="00473E7D">
              <w:rPr>
                <w:sz w:val="22"/>
                <w:szCs w:val="22"/>
                <w:lang w:val="en-US"/>
              </w:rPr>
              <w:t>evitarea</w:t>
            </w:r>
            <w:proofErr w:type="spellEnd"/>
            <w:r w:rsidRPr="00473E7D">
              <w:rPr>
                <w:sz w:val="22"/>
                <w:szCs w:val="22"/>
                <w:lang w:val="en-US"/>
              </w:rPr>
              <w:t xml:space="preserve"> </w:t>
            </w:r>
            <w:proofErr w:type="spellStart"/>
            <w:r w:rsidRPr="00473E7D">
              <w:rPr>
                <w:sz w:val="22"/>
                <w:szCs w:val="22"/>
                <w:lang w:val="en-US"/>
              </w:rPr>
              <w:t>reproducerii</w:t>
            </w:r>
            <w:proofErr w:type="spellEnd"/>
            <w:r w:rsidRPr="00473E7D">
              <w:rPr>
                <w:sz w:val="22"/>
                <w:szCs w:val="22"/>
                <w:lang w:val="en-US"/>
              </w:rPr>
              <w:t xml:space="preserve"> </w:t>
            </w:r>
            <w:proofErr w:type="spellStart"/>
            <w:r w:rsidRPr="00473E7D">
              <w:rPr>
                <w:sz w:val="22"/>
                <w:szCs w:val="22"/>
                <w:lang w:val="en-US"/>
              </w:rPr>
              <w:t>acesteia</w:t>
            </w:r>
            <w:proofErr w:type="spellEnd"/>
            <w:r w:rsidRPr="00473E7D">
              <w:rPr>
                <w:sz w:val="22"/>
                <w:szCs w:val="22"/>
                <w:lang w:val="en-US"/>
              </w:rPr>
              <w:t xml:space="preserve">, se face </w:t>
            </w:r>
            <w:proofErr w:type="spellStart"/>
            <w:r w:rsidRPr="00473E7D">
              <w:rPr>
                <w:sz w:val="22"/>
                <w:szCs w:val="22"/>
                <w:lang w:val="en-US"/>
              </w:rPr>
              <w:t>trimitere</w:t>
            </w:r>
            <w:proofErr w:type="spellEnd"/>
            <w:r w:rsidRPr="00473E7D">
              <w:rPr>
                <w:sz w:val="22"/>
                <w:szCs w:val="22"/>
                <w:lang w:val="en-US"/>
              </w:rPr>
              <w:t xml:space="preserve"> la </w:t>
            </w:r>
            <w:proofErr w:type="spellStart"/>
            <w:r w:rsidRPr="00473E7D">
              <w:rPr>
                <w:sz w:val="22"/>
                <w:szCs w:val="22"/>
                <w:lang w:val="en-US"/>
              </w:rPr>
              <w:t>elementul</w:t>
            </w:r>
            <w:proofErr w:type="spellEnd"/>
            <w:r w:rsidRPr="00473E7D">
              <w:rPr>
                <w:sz w:val="22"/>
                <w:szCs w:val="22"/>
                <w:lang w:val="en-US"/>
              </w:rPr>
              <w:t xml:space="preserve"> structural </w:t>
            </w:r>
            <w:proofErr w:type="spellStart"/>
            <w:r w:rsidRPr="00473E7D">
              <w:rPr>
                <w:sz w:val="22"/>
                <w:szCs w:val="22"/>
                <w:lang w:val="en-US"/>
              </w:rPr>
              <w:t>sau</w:t>
            </w:r>
            <w:proofErr w:type="spellEnd"/>
            <w:r w:rsidRPr="00473E7D">
              <w:rPr>
                <w:sz w:val="22"/>
                <w:szCs w:val="22"/>
                <w:lang w:val="en-US"/>
              </w:rPr>
              <w:t xml:space="preserve"> </w:t>
            </w:r>
            <w:proofErr w:type="spellStart"/>
            <w:r w:rsidRPr="00473E7D">
              <w:rPr>
                <w:sz w:val="22"/>
                <w:szCs w:val="22"/>
                <w:lang w:val="en-US"/>
              </w:rPr>
              <w:t>constitutiv</w:t>
            </w:r>
            <w:proofErr w:type="spellEnd"/>
            <w:r w:rsidRPr="00473E7D">
              <w:rPr>
                <w:sz w:val="22"/>
                <w:szCs w:val="22"/>
                <w:lang w:val="en-US"/>
              </w:rPr>
              <w:t xml:space="preserve"> </w:t>
            </w:r>
            <w:proofErr w:type="spellStart"/>
            <w:r w:rsidRPr="00473E7D">
              <w:rPr>
                <w:sz w:val="22"/>
                <w:szCs w:val="22"/>
                <w:lang w:val="en-US"/>
              </w:rPr>
              <w:t>respectiv</w:t>
            </w:r>
            <w:proofErr w:type="spellEnd"/>
            <w:r w:rsidRPr="00473E7D">
              <w:rPr>
                <w:sz w:val="22"/>
                <w:szCs w:val="22"/>
                <w:lang w:val="en-US"/>
              </w:rPr>
              <w:t xml:space="preserve">, </w:t>
            </w:r>
            <w:proofErr w:type="spellStart"/>
            <w:r w:rsidRPr="00473E7D">
              <w:rPr>
                <w:sz w:val="22"/>
                <w:szCs w:val="22"/>
                <w:lang w:val="en-US"/>
              </w:rPr>
              <w:t>fără</w:t>
            </w:r>
            <w:proofErr w:type="spellEnd"/>
            <w:r w:rsidRPr="00473E7D">
              <w:rPr>
                <w:sz w:val="22"/>
                <w:szCs w:val="22"/>
                <w:lang w:val="en-US"/>
              </w:rPr>
              <w:t xml:space="preserve"> a se </w:t>
            </w:r>
            <w:proofErr w:type="spellStart"/>
            <w:r w:rsidRPr="00473E7D">
              <w:rPr>
                <w:sz w:val="22"/>
                <w:szCs w:val="22"/>
                <w:lang w:val="en-US"/>
              </w:rPr>
              <w:t>indica</w:t>
            </w:r>
            <w:proofErr w:type="spellEnd"/>
            <w:r w:rsidRPr="00473E7D">
              <w:rPr>
                <w:sz w:val="22"/>
                <w:szCs w:val="22"/>
                <w:lang w:val="en-US"/>
              </w:rPr>
              <w:t xml:space="preserve"> </w:t>
            </w:r>
            <w:proofErr w:type="spellStart"/>
            <w:r w:rsidRPr="00473E7D">
              <w:rPr>
                <w:sz w:val="22"/>
                <w:szCs w:val="22"/>
                <w:lang w:val="en-US"/>
              </w:rPr>
              <w:t>că</w:t>
            </w:r>
            <w:proofErr w:type="spellEnd"/>
            <w:r w:rsidRPr="00473E7D">
              <w:rPr>
                <w:sz w:val="22"/>
                <w:szCs w:val="22"/>
                <w:lang w:val="en-US"/>
              </w:rPr>
              <w:t xml:space="preserve"> </w:t>
            </w:r>
            <w:proofErr w:type="spellStart"/>
            <w:r w:rsidRPr="00473E7D">
              <w:rPr>
                <w:sz w:val="22"/>
                <w:szCs w:val="22"/>
                <w:lang w:val="en-US"/>
              </w:rPr>
              <w:t>elementul</w:t>
            </w:r>
            <w:proofErr w:type="spellEnd"/>
            <w:r w:rsidRPr="00473E7D">
              <w:rPr>
                <w:sz w:val="22"/>
                <w:szCs w:val="22"/>
                <w:lang w:val="en-US"/>
              </w:rPr>
              <w:t xml:space="preserve"> </w:t>
            </w:r>
            <w:proofErr w:type="spellStart"/>
            <w:r w:rsidRPr="00473E7D">
              <w:rPr>
                <w:sz w:val="22"/>
                <w:szCs w:val="22"/>
                <w:lang w:val="en-US"/>
              </w:rPr>
              <w:t>respectiv</w:t>
            </w:r>
            <w:proofErr w:type="spellEnd"/>
            <w:r w:rsidRPr="00473E7D">
              <w:rPr>
                <w:sz w:val="22"/>
                <w:szCs w:val="22"/>
                <w:lang w:val="en-US"/>
              </w:rPr>
              <w:t xml:space="preserve"> face parte din </w:t>
            </w:r>
            <w:proofErr w:type="spellStart"/>
            <w:r w:rsidRPr="00473E7D">
              <w:rPr>
                <w:sz w:val="22"/>
                <w:szCs w:val="22"/>
                <w:lang w:val="en-US"/>
              </w:rPr>
              <w:t>același</w:t>
            </w:r>
            <w:proofErr w:type="spellEnd"/>
            <w:r w:rsidRPr="00473E7D">
              <w:rPr>
                <w:sz w:val="22"/>
                <w:szCs w:val="22"/>
                <w:lang w:val="en-US"/>
              </w:rPr>
              <w:t xml:space="preserve"> act </w:t>
            </w:r>
            <w:proofErr w:type="spellStart"/>
            <w:r w:rsidRPr="00473E7D">
              <w:rPr>
                <w:sz w:val="22"/>
                <w:szCs w:val="22"/>
                <w:lang w:val="en-US"/>
              </w:rPr>
              <w:t>normativ</w:t>
            </w:r>
            <w:proofErr w:type="spellEnd"/>
            <w:r w:rsidRPr="00473E7D">
              <w:rPr>
                <w:sz w:val="22"/>
                <w:szCs w:val="22"/>
                <w:lang w:val="ro-MD"/>
              </w:rPr>
              <w:t xml:space="preserve"> (observația este valabilă și pentru pct. 30)</w:t>
            </w:r>
            <w:r w:rsidRPr="00473E7D">
              <w:rPr>
                <w:sz w:val="22"/>
                <w:szCs w:val="22"/>
                <w:lang w:val="en-US"/>
              </w:rPr>
              <w:t>.</w:t>
            </w:r>
          </w:p>
          <w:p w14:paraId="19C2FD12" w14:textId="37263882" w:rsidR="00473E7D" w:rsidRPr="00473E7D" w:rsidRDefault="00473E7D" w:rsidP="00473E7D">
            <w:pPr>
              <w:jc w:val="both"/>
              <w:rPr>
                <w:b/>
                <w:color w:val="333333"/>
                <w:sz w:val="22"/>
                <w:szCs w:val="22"/>
                <w:lang w:val="en-US"/>
              </w:rPr>
            </w:pPr>
            <w:r w:rsidRPr="00473E7D">
              <w:rPr>
                <w:sz w:val="22"/>
                <w:szCs w:val="22"/>
                <w:lang w:val="ro-MD"/>
              </w:rPr>
              <w:lastRenderedPageBreak/>
              <w:t xml:space="preserve">Cu referire la pct. 24, atragem atenția că acesta nu conține în sine o normă juridică, dar este în raport direct cu mai multe norme din pct. 25-30. În subsidiar, respectivele prevederi urmează să întrunească un </w:t>
            </w:r>
            <w:proofErr w:type="spellStart"/>
            <w:r w:rsidRPr="00473E7D">
              <w:rPr>
                <w:color w:val="333333"/>
                <w:sz w:val="22"/>
                <w:szCs w:val="22"/>
                <w:lang w:val="en-US"/>
              </w:rPr>
              <w:t>caracter</w:t>
            </w:r>
            <w:proofErr w:type="spellEnd"/>
            <w:r w:rsidRPr="00473E7D">
              <w:rPr>
                <w:color w:val="333333"/>
                <w:sz w:val="22"/>
                <w:szCs w:val="22"/>
                <w:lang w:val="en-US"/>
              </w:rPr>
              <w:t xml:space="preserve"> </w:t>
            </w:r>
            <w:proofErr w:type="spellStart"/>
            <w:r w:rsidRPr="00473E7D">
              <w:rPr>
                <w:color w:val="333333"/>
                <w:sz w:val="22"/>
                <w:szCs w:val="22"/>
                <w:lang w:val="en-US"/>
              </w:rPr>
              <w:t>unitar</w:t>
            </w:r>
            <w:proofErr w:type="spellEnd"/>
            <w:r w:rsidRPr="00473E7D">
              <w:rPr>
                <w:color w:val="333333"/>
                <w:sz w:val="22"/>
                <w:szCs w:val="22"/>
                <w:lang w:val="en-US"/>
              </w:rPr>
              <w:t xml:space="preserve"> </w:t>
            </w:r>
            <w:proofErr w:type="spellStart"/>
            <w:r w:rsidRPr="00473E7D">
              <w:rPr>
                <w:color w:val="333333"/>
                <w:sz w:val="22"/>
                <w:szCs w:val="22"/>
                <w:lang w:val="en-US"/>
              </w:rPr>
              <w:t>şi</w:t>
            </w:r>
            <w:proofErr w:type="spellEnd"/>
            <w:r w:rsidRPr="00473E7D">
              <w:rPr>
                <w:color w:val="333333"/>
                <w:sz w:val="22"/>
                <w:szCs w:val="22"/>
                <w:lang w:val="en-US"/>
              </w:rPr>
              <w:t xml:space="preserve"> </w:t>
            </w:r>
            <w:proofErr w:type="spellStart"/>
            <w:r w:rsidRPr="00473E7D">
              <w:rPr>
                <w:color w:val="333333"/>
                <w:sz w:val="22"/>
                <w:szCs w:val="22"/>
                <w:lang w:val="en-US"/>
              </w:rPr>
              <w:t>să</w:t>
            </w:r>
            <w:proofErr w:type="spellEnd"/>
            <w:r w:rsidRPr="00473E7D">
              <w:rPr>
                <w:color w:val="333333"/>
                <w:sz w:val="22"/>
                <w:szCs w:val="22"/>
                <w:lang w:val="en-US"/>
              </w:rPr>
              <w:t xml:space="preserve"> fie </w:t>
            </w:r>
            <w:proofErr w:type="spellStart"/>
            <w:r w:rsidRPr="00473E7D">
              <w:rPr>
                <w:color w:val="333333"/>
                <w:sz w:val="22"/>
                <w:szCs w:val="22"/>
                <w:lang w:val="en-US"/>
              </w:rPr>
              <w:t>subordonate</w:t>
            </w:r>
            <w:proofErr w:type="spellEnd"/>
            <w:r w:rsidRPr="00473E7D">
              <w:rPr>
                <w:color w:val="333333"/>
                <w:sz w:val="22"/>
                <w:szCs w:val="22"/>
                <w:lang w:val="en-US"/>
              </w:rPr>
              <w:t xml:space="preserve"> </w:t>
            </w:r>
            <w:proofErr w:type="spellStart"/>
            <w:r w:rsidRPr="00473E7D">
              <w:rPr>
                <w:color w:val="333333"/>
                <w:sz w:val="22"/>
                <w:szCs w:val="22"/>
                <w:lang w:val="en-US"/>
              </w:rPr>
              <w:t>uneia</w:t>
            </w:r>
            <w:proofErr w:type="spellEnd"/>
            <w:r w:rsidRPr="00473E7D">
              <w:rPr>
                <w:color w:val="333333"/>
                <w:sz w:val="22"/>
                <w:szCs w:val="22"/>
                <w:lang w:val="en-US"/>
              </w:rPr>
              <w:t xml:space="preserve"> </w:t>
            </w:r>
            <w:proofErr w:type="spellStart"/>
            <w:r w:rsidRPr="00473E7D">
              <w:rPr>
                <w:color w:val="333333"/>
                <w:sz w:val="22"/>
                <w:szCs w:val="22"/>
                <w:lang w:val="en-US"/>
              </w:rPr>
              <w:t>şi</w:t>
            </w:r>
            <w:proofErr w:type="spellEnd"/>
            <w:r w:rsidRPr="00473E7D">
              <w:rPr>
                <w:color w:val="333333"/>
                <w:sz w:val="22"/>
                <w:szCs w:val="22"/>
                <w:lang w:val="en-US"/>
              </w:rPr>
              <w:t xml:space="preserve"> </w:t>
            </w:r>
            <w:proofErr w:type="spellStart"/>
            <w:r w:rsidRPr="00473E7D">
              <w:rPr>
                <w:color w:val="333333"/>
                <w:sz w:val="22"/>
                <w:szCs w:val="22"/>
                <w:lang w:val="en-US"/>
              </w:rPr>
              <w:t>aceleiaşi</w:t>
            </w:r>
            <w:proofErr w:type="spellEnd"/>
            <w:r w:rsidRPr="00473E7D">
              <w:rPr>
                <w:color w:val="333333"/>
                <w:sz w:val="22"/>
                <w:szCs w:val="22"/>
                <w:lang w:val="en-US"/>
              </w:rPr>
              <w:t xml:space="preserve"> </w:t>
            </w:r>
            <w:proofErr w:type="spellStart"/>
            <w:r w:rsidRPr="00473E7D">
              <w:rPr>
                <w:color w:val="333333"/>
                <w:sz w:val="22"/>
                <w:szCs w:val="22"/>
                <w:lang w:val="en-US"/>
              </w:rPr>
              <w:t>idei</w:t>
            </w:r>
            <w:proofErr w:type="spellEnd"/>
            <w:r w:rsidRPr="00473E7D">
              <w:rPr>
                <w:color w:val="333333"/>
                <w:sz w:val="22"/>
                <w:szCs w:val="22"/>
                <w:lang w:val="en-US"/>
              </w:rPr>
              <w:t>.</w:t>
            </w:r>
          </w:p>
          <w:p w14:paraId="68736185" w14:textId="77777777" w:rsidR="00473E7D" w:rsidRPr="00473E7D" w:rsidRDefault="00473E7D" w:rsidP="00473E7D">
            <w:pPr>
              <w:jc w:val="both"/>
              <w:rPr>
                <w:b/>
                <w:iCs/>
                <w:sz w:val="22"/>
                <w:szCs w:val="22"/>
                <w:lang w:val="ro-MD"/>
              </w:rPr>
            </w:pPr>
            <w:r w:rsidRPr="00473E7D">
              <w:rPr>
                <w:iCs/>
                <w:sz w:val="22"/>
                <w:szCs w:val="22"/>
                <w:lang w:val="ro-MD"/>
              </w:rPr>
              <w:t>Anexele nr. 1 și nr. 2 urmează a fi plasate în ordine consecutivă (în ordinea în care au fost enunțate în textul Metodologiei la pct. 17 și 19). Concomitent, semnalăm despre redarea eronată a denumirii Metodologiei, motiv pentru care, aceasta se va expune după următorul exemplu:</w:t>
            </w:r>
          </w:p>
          <w:p w14:paraId="2D711E2F" w14:textId="77777777" w:rsidR="00473E7D" w:rsidRPr="009523BD" w:rsidRDefault="00473E7D" w:rsidP="00473E7D">
            <w:pPr>
              <w:jc w:val="right"/>
              <w:rPr>
                <w:b/>
                <w:i/>
                <w:iCs/>
                <w:sz w:val="22"/>
                <w:szCs w:val="22"/>
                <w:lang w:val="ro-MD"/>
              </w:rPr>
            </w:pPr>
            <w:r w:rsidRPr="009523BD">
              <w:rPr>
                <w:i/>
                <w:iCs/>
                <w:sz w:val="22"/>
                <w:szCs w:val="22"/>
                <w:lang w:val="ro-MD"/>
              </w:rPr>
              <w:t xml:space="preserve"> „Anexa nr. 1</w:t>
            </w:r>
          </w:p>
          <w:p w14:paraId="679FB602" w14:textId="77777777" w:rsidR="00473E7D" w:rsidRPr="009523BD" w:rsidRDefault="00473E7D" w:rsidP="00473E7D">
            <w:pPr>
              <w:jc w:val="right"/>
              <w:rPr>
                <w:b/>
                <w:i/>
                <w:iCs/>
                <w:sz w:val="22"/>
                <w:szCs w:val="22"/>
                <w:lang w:val="ro-MD"/>
              </w:rPr>
            </w:pPr>
            <w:r w:rsidRPr="009523BD">
              <w:rPr>
                <w:i/>
                <w:iCs/>
                <w:sz w:val="22"/>
                <w:szCs w:val="22"/>
                <w:lang w:val="ro-MD"/>
              </w:rPr>
              <w:t>la Metodologia de calculare a plăților</w:t>
            </w:r>
          </w:p>
          <w:p w14:paraId="751648C2" w14:textId="77777777" w:rsidR="00473E7D" w:rsidRPr="00473E7D" w:rsidRDefault="00473E7D" w:rsidP="00473E7D">
            <w:pPr>
              <w:jc w:val="right"/>
              <w:rPr>
                <w:b/>
                <w:iCs/>
                <w:sz w:val="22"/>
                <w:szCs w:val="22"/>
                <w:lang w:val="ro-MD"/>
              </w:rPr>
            </w:pPr>
            <w:r w:rsidRPr="009523BD">
              <w:rPr>
                <w:i/>
                <w:iCs/>
                <w:sz w:val="22"/>
                <w:szCs w:val="22"/>
                <w:lang w:val="ro-MD"/>
              </w:rPr>
              <w:t>pentru neutralitate</w:t>
            </w:r>
            <w:r w:rsidRPr="00473E7D">
              <w:rPr>
                <w:iCs/>
                <w:sz w:val="22"/>
                <w:szCs w:val="22"/>
                <w:lang w:val="ro-MD"/>
              </w:rPr>
              <w:t>”.</w:t>
            </w:r>
          </w:p>
          <w:p w14:paraId="518599BF" w14:textId="77777777" w:rsidR="00473E7D" w:rsidRPr="00473E7D" w:rsidRDefault="00473E7D" w:rsidP="00473E7D">
            <w:pPr>
              <w:tabs>
                <w:tab w:val="left" w:pos="426"/>
              </w:tabs>
              <w:jc w:val="both"/>
              <w:rPr>
                <w:rFonts w:eastAsia="Calibri"/>
                <w:b/>
                <w:sz w:val="22"/>
                <w:szCs w:val="22"/>
                <w:lang w:val="ro-MD"/>
              </w:rPr>
            </w:pPr>
            <w:r w:rsidRPr="00473E7D">
              <w:rPr>
                <w:sz w:val="22"/>
                <w:szCs w:val="22"/>
                <w:lang w:val="en-US"/>
              </w:rPr>
              <w:tab/>
              <w:t xml:space="preserve">Cu </w:t>
            </w:r>
            <w:proofErr w:type="spellStart"/>
            <w:r w:rsidRPr="00473E7D">
              <w:rPr>
                <w:sz w:val="22"/>
                <w:szCs w:val="22"/>
                <w:lang w:val="en-US"/>
              </w:rPr>
              <w:t>titlu</w:t>
            </w:r>
            <w:proofErr w:type="spellEnd"/>
            <w:r w:rsidRPr="00473E7D">
              <w:rPr>
                <w:sz w:val="22"/>
                <w:szCs w:val="22"/>
                <w:lang w:val="en-US"/>
              </w:rPr>
              <w:t xml:space="preserve"> de </w:t>
            </w:r>
            <w:proofErr w:type="spellStart"/>
            <w:r w:rsidRPr="00473E7D">
              <w:rPr>
                <w:sz w:val="22"/>
                <w:szCs w:val="22"/>
                <w:lang w:val="en-US"/>
              </w:rPr>
              <w:t>remarcă</w:t>
            </w:r>
            <w:proofErr w:type="spellEnd"/>
            <w:r w:rsidRPr="00473E7D">
              <w:rPr>
                <w:sz w:val="22"/>
                <w:szCs w:val="22"/>
                <w:lang w:val="en-US"/>
              </w:rPr>
              <w:t xml:space="preserve"> </w:t>
            </w:r>
            <w:proofErr w:type="spellStart"/>
            <w:r w:rsidRPr="00473E7D">
              <w:rPr>
                <w:sz w:val="22"/>
                <w:szCs w:val="22"/>
                <w:lang w:val="en-US"/>
              </w:rPr>
              <w:t>generală</w:t>
            </w:r>
            <w:proofErr w:type="spellEnd"/>
            <w:r w:rsidRPr="00473E7D">
              <w:rPr>
                <w:sz w:val="22"/>
                <w:szCs w:val="22"/>
                <w:lang w:val="en-US"/>
              </w:rPr>
              <w:t xml:space="preserve">, la </w:t>
            </w:r>
            <w:proofErr w:type="spellStart"/>
            <w:r w:rsidRPr="00473E7D">
              <w:rPr>
                <w:sz w:val="22"/>
                <w:szCs w:val="22"/>
                <w:lang w:val="en-US"/>
              </w:rPr>
              <w:t>definitivarea</w:t>
            </w:r>
            <w:proofErr w:type="spellEnd"/>
            <w:r w:rsidRPr="00473E7D">
              <w:rPr>
                <w:sz w:val="22"/>
                <w:szCs w:val="22"/>
                <w:lang w:val="en-US"/>
              </w:rPr>
              <w:t xml:space="preserve"> </w:t>
            </w:r>
            <w:proofErr w:type="spellStart"/>
            <w:r w:rsidRPr="00473E7D">
              <w:rPr>
                <w:sz w:val="22"/>
                <w:szCs w:val="22"/>
                <w:lang w:val="en-US"/>
              </w:rPr>
              <w:t>proiectului</w:t>
            </w:r>
            <w:proofErr w:type="spellEnd"/>
            <w:r w:rsidRPr="00473E7D">
              <w:rPr>
                <w:sz w:val="22"/>
                <w:szCs w:val="22"/>
                <w:lang w:val="en-US"/>
              </w:rPr>
              <w:t xml:space="preserve"> se </w:t>
            </w:r>
            <w:proofErr w:type="spellStart"/>
            <w:r w:rsidRPr="00473E7D">
              <w:rPr>
                <w:sz w:val="22"/>
                <w:szCs w:val="22"/>
                <w:lang w:val="en-US"/>
              </w:rPr>
              <w:t>va</w:t>
            </w:r>
            <w:proofErr w:type="spellEnd"/>
            <w:r w:rsidRPr="00473E7D">
              <w:rPr>
                <w:sz w:val="22"/>
                <w:szCs w:val="22"/>
                <w:lang w:val="en-US"/>
              </w:rPr>
              <w:t xml:space="preserve"> </w:t>
            </w:r>
            <w:proofErr w:type="spellStart"/>
            <w:r w:rsidRPr="00473E7D">
              <w:rPr>
                <w:sz w:val="22"/>
                <w:szCs w:val="22"/>
                <w:lang w:val="en-US"/>
              </w:rPr>
              <w:t>ține</w:t>
            </w:r>
            <w:proofErr w:type="spellEnd"/>
            <w:r w:rsidRPr="00473E7D">
              <w:rPr>
                <w:sz w:val="22"/>
                <w:szCs w:val="22"/>
                <w:lang w:val="en-US"/>
              </w:rPr>
              <w:t xml:space="preserve"> </w:t>
            </w:r>
            <w:proofErr w:type="spellStart"/>
            <w:r w:rsidRPr="00473E7D">
              <w:rPr>
                <w:sz w:val="22"/>
                <w:szCs w:val="22"/>
                <w:lang w:val="en-US"/>
              </w:rPr>
              <w:t>cont</w:t>
            </w:r>
            <w:proofErr w:type="spellEnd"/>
            <w:r w:rsidRPr="00473E7D">
              <w:rPr>
                <w:sz w:val="22"/>
                <w:szCs w:val="22"/>
                <w:lang w:val="en-US"/>
              </w:rPr>
              <w:t xml:space="preserve"> de </w:t>
            </w:r>
            <w:proofErr w:type="spellStart"/>
            <w:r w:rsidRPr="00473E7D">
              <w:rPr>
                <w:sz w:val="22"/>
                <w:szCs w:val="22"/>
                <w:lang w:val="en-US"/>
              </w:rPr>
              <w:t>prevederile</w:t>
            </w:r>
            <w:proofErr w:type="spellEnd"/>
            <w:r w:rsidRPr="00473E7D">
              <w:rPr>
                <w:sz w:val="22"/>
                <w:szCs w:val="22"/>
                <w:lang w:val="en-US"/>
              </w:rPr>
              <w:t xml:space="preserve"> art. 52 </w:t>
            </w:r>
            <w:proofErr w:type="spellStart"/>
            <w:r w:rsidRPr="00473E7D">
              <w:rPr>
                <w:sz w:val="22"/>
                <w:szCs w:val="22"/>
                <w:lang w:val="en-US"/>
              </w:rPr>
              <w:t>alin</w:t>
            </w:r>
            <w:proofErr w:type="spellEnd"/>
            <w:r w:rsidRPr="00473E7D">
              <w:rPr>
                <w:sz w:val="22"/>
                <w:szCs w:val="22"/>
                <w:lang w:val="en-US"/>
              </w:rPr>
              <w:t xml:space="preserve">. (2) </w:t>
            </w:r>
            <w:proofErr w:type="spellStart"/>
            <w:r w:rsidRPr="00473E7D">
              <w:rPr>
                <w:sz w:val="22"/>
                <w:szCs w:val="22"/>
                <w:lang w:val="en-US"/>
              </w:rPr>
              <w:t>și</w:t>
            </w:r>
            <w:proofErr w:type="spellEnd"/>
            <w:r w:rsidRPr="00473E7D">
              <w:rPr>
                <w:sz w:val="22"/>
                <w:szCs w:val="22"/>
                <w:lang w:val="en-US"/>
              </w:rPr>
              <w:t xml:space="preserve"> (3) din </w:t>
            </w:r>
            <w:proofErr w:type="spellStart"/>
            <w:r w:rsidRPr="00473E7D">
              <w:rPr>
                <w:i/>
                <w:sz w:val="22"/>
                <w:szCs w:val="22"/>
                <w:lang w:val="en-US"/>
              </w:rPr>
              <w:t>Legea</w:t>
            </w:r>
            <w:proofErr w:type="spellEnd"/>
            <w:r w:rsidRPr="00473E7D">
              <w:rPr>
                <w:i/>
                <w:sz w:val="22"/>
                <w:szCs w:val="22"/>
                <w:lang w:val="en-US"/>
              </w:rPr>
              <w:t xml:space="preserve"> </w:t>
            </w:r>
            <w:proofErr w:type="spellStart"/>
            <w:r w:rsidRPr="00473E7D">
              <w:rPr>
                <w:i/>
                <w:sz w:val="22"/>
                <w:szCs w:val="22"/>
                <w:lang w:val="en-US"/>
              </w:rPr>
              <w:t>nr</w:t>
            </w:r>
            <w:proofErr w:type="spellEnd"/>
            <w:r w:rsidRPr="00473E7D">
              <w:rPr>
                <w:i/>
                <w:sz w:val="22"/>
                <w:szCs w:val="22"/>
                <w:lang w:val="en-US"/>
              </w:rPr>
              <w:t>. 100/2017</w:t>
            </w:r>
            <w:r w:rsidRPr="00473E7D">
              <w:rPr>
                <w:sz w:val="22"/>
                <w:szCs w:val="22"/>
                <w:lang w:val="en-US"/>
              </w:rPr>
              <w:t xml:space="preserve">, </w:t>
            </w:r>
            <w:proofErr w:type="spellStart"/>
            <w:r w:rsidRPr="00473E7D">
              <w:rPr>
                <w:sz w:val="22"/>
                <w:szCs w:val="22"/>
                <w:lang w:val="en-US"/>
              </w:rPr>
              <w:t>potrivit</w:t>
            </w:r>
            <w:proofErr w:type="spellEnd"/>
            <w:r w:rsidRPr="00473E7D">
              <w:rPr>
                <w:sz w:val="22"/>
                <w:szCs w:val="22"/>
                <w:lang w:val="en-US"/>
              </w:rPr>
              <w:t xml:space="preserve"> </w:t>
            </w:r>
            <w:proofErr w:type="spellStart"/>
            <w:r w:rsidRPr="00473E7D">
              <w:rPr>
                <w:sz w:val="22"/>
                <w:szCs w:val="22"/>
                <w:lang w:val="en-US"/>
              </w:rPr>
              <w:t>cărora</w:t>
            </w:r>
            <w:proofErr w:type="spellEnd"/>
            <w:r w:rsidRPr="00473E7D">
              <w:rPr>
                <w:sz w:val="22"/>
                <w:szCs w:val="22"/>
                <w:lang w:val="en-US"/>
              </w:rPr>
              <w:t xml:space="preserve"> </w:t>
            </w:r>
            <w:proofErr w:type="spellStart"/>
            <w:r w:rsidRPr="00473E7D">
              <w:rPr>
                <w:sz w:val="22"/>
                <w:szCs w:val="22"/>
                <w:lang w:val="en-US"/>
              </w:rPr>
              <w:t>punctele</w:t>
            </w:r>
            <w:proofErr w:type="spellEnd"/>
            <w:r w:rsidRPr="00473E7D">
              <w:rPr>
                <w:sz w:val="22"/>
                <w:szCs w:val="22"/>
                <w:lang w:val="en-US"/>
              </w:rPr>
              <w:t xml:space="preserve">, de </w:t>
            </w:r>
            <w:proofErr w:type="spellStart"/>
            <w:r w:rsidRPr="00473E7D">
              <w:rPr>
                <w:sz w:val="22"/>
                <w:szCs w:val="22"/>
                <w:lang w:val="en-US"/>
              </w:rPr>
              <w:t>regulă</w:t>
            </w:r>
            <w:proofErr w:type="spellEnd"/>
            <w:r w:rsidRPr="00473E7D">
              <w:rPr>
                <w:sz w:val="22"/>
                <w:szCs w:val="22"/>
                <w:lang w:val="en-US"/>
              </w:rPr>
              <w:t xml:space="preserve">, nu au </w:t>
            </w:r>
            <w:proofErr w:type="spellStart"/>
            <w:r w:rsidRPr="00473E7D">
              <w:rPr>
                <w:sz w:val="22"/>
                <w:szCs w:val="22"/>
                <w:lang w:val="en-US"/>
              </w:rPr>
              <w:t>denumire</w:t>
            </w:r>
            <w:proofErr w:type="spellEnd"/>
            <w:r w:rsidRPr="00473E7D">
              <w:rPr>
                <w:sz w:val="22"/>
                <w:szCs w:val="22"/>
                <w:lang w:val="en-US"/>
              </w:rPr>
              <w:t xml:space="preserve">, </w:t>
            </w:r>
            <w:proofErr w:type="spellStart"/>
            <w:r w:rsidRPr="00473E7D">
              <w:rPr>
                <w:sz w:val="22"/>
                <w:szCs w:val="22"/>
                <w:lang w:val="en-US"/>
              </w:rPr>
              <w:t>sunt</w:t>
            </w:r>
            <w:proofErr w:type="spellEnd"/>
            <w:r w:rsidRPr="00473E7D">
              <w:rPr>
                <w:sz w:val="22"/>
                <w:szCs w:val="22"/>
                <w:lang w:val="en-US"/>
              </w:rPr>
              <w:t xml:space="preserve"> </w:t>
            </w:r>
            <w:proofErr w:type="spellStart"/>
            <w:r w:rsidRPr="00473E7D">
              <w:rPr>
                <w:sz w:val="22"/>
                <w:szCs w:val="22"/>
                <w:lang w:val="en-US"/>
              </w:rPr>
              <w:t>expuse</w:t>
            </w:r>
            <w:proofErr w:type="spellEnd"/>
            <w:r w:rsidRPr="00473E7D">
              <w:rPr>
                <w:sz w:val="22"/>
                <w:szCs w:val="22"/>
                <w:lang w:val="en-US"/>
              </w:rPr>
              <w:t xml:space="preserve"> </w:t>
            </w:r>
            <w:proofErr w:type="spellStart"/>
            <w:r w:rsidRPr="00473E7D">
              <w:rPr>
                <w:sz w:val="22"/>
                <w:szCs w:val="22"/>
                <w:lang w:val="en-US"/>
              </w:rPr>
              <w:t>fără</w:t>
            </w:r>
            <w:proofErr w:type="spellEnd"/>
            <w:r w:rsidRPr="00473E7D">
              <w:rPr>
                <w:sz w:val="22"/>
                <w:szCs w:val="22"/>
                <w:lang w:val="en-US"/>
              </w:rPr>
              <w:t xml:space="preserve"> </w:t>
            </w:r>
            <w:proofErr w:type="spellStart"/>
            <w:r w:rsidRPr="00473E7D">
              <w:rPr>
                <w:sz w:val="22"/>
                <w:szCs w:val="22"/>
                <w:lang w:val="en-US"/>
              </w:rPr>
              <w:t>utilizarea</w:t>
            </w:r>
            <w:proofErr w:type="spellEnd"/>
            <w:r w:rsidRPr="00473E7D">
              <w:rPr>
                <w:sz w:val="22"/>
                <w:szCs w:val="22"/>
                <w:lang w:val="en-US"/>
              </w:rPr>
              <w:t xml:space="preserve"> </w:t>
            </w:r>
            <w:proofErr w:type="spellStart"/>
            <w:r w:rsidRPr="00473E7D">
              <w:rPr>
                <w:sz w:val="22"/>
                <w:szCs w:val="22"/>
                <w:lang w:val="en-US"/>
              </w:rPr>
              <w:t>cuvântului</w:t>
            </w:r>
            <w:proofErr w:type="spellEnd"/>
            <w:r w:rsidRPr="00473E7D">
              <w:rPr>
                <w:sz w:val="22"/>
                <w:szCs w:val="22"/>
                <w:lang w:val="en-US"/>
              </w:rPr>
              <w:t xml:space="preserve"> „</w:t>
            </w:r>
            <w:proofErr w:type="spellStart"/>
            <w:r w:rsidRPr="00473E7D">
              <w:rPr>
                <w:sz w:val="22"/>
                <w:szCs w:val="22"/>
                <w:lang w:val="en-US"/>
              </w:rPr>
              <w:t>punct</w:t>
            </w:r>
            <w:proofErr w:type="spellEnd"/>
            <w:r w:rsidRPr="00473E7D">
              <w:rPr>
                <w:sz w:val="22"/>
                <w:szCs w:val="22"/>
                <w:lang w:val="en-US"/>
              </w:rPr>
              <w:t xml:space="preserve">” </w:t>
            </w:r>
            <w:proofErr w:type="spellStart"/>
            <w:r w:rsidRPr="00473E7D">
              <w:rPr>
                <w:sz w:val="22"/>
                <w:szCs w:val="22"/>
                <w:lang w:val="en-US"/>
              </w:rPr>
              <w:t>şi</w:t>
            </w:r>
            <w:proofErr w:type="spellEnd"/>
            <w:r w:rsidRPr="00473E7D">
              <w:rPr>
                <w:sz w:val="22"/>
                <w:szCs w:val="22"/>
                <w:lang w:val="en-US"/>
              </w:rPr>
              <w:t xml:space="preserve"> se </w:t>
            </w:r>
            <w:proofErr w:type="spellStart"/>
            <w:r w:rsidRPr="00473E7D">
              <w:rPr>
                <w:sz w:val="22"/>
                <w:szCs w:val="22"/>
                <w:lang w:val="en-US"/>
              </w:rPr>
              <w:t>însemnează</w:t>
            </w:r>
            <w:proofErr w:type="spellEnd"/>
            <w:r w:rsidRPr="00473E7D">
              <w:rPr>
                <w:sz w:val="22"/>
                <w:szCs w:val="22"/>
                <w:lang w:val="en-US"/>
              </w:rPr>
              <w:t xml:space="preserve"> </w:t>
            </w:r>
            <w:proofErr w:type="spellStart"/>
            <w:r w:rsidRPr="00473E7D">
              <w:rPr>
                <w:sz w:val="22"/>
                <w:szCs w:val="22"/>
                <w:lang w:val="en-US"/>
              </w:rPr>
              <w:t>consecutiv</w:t>
            </w:r>
            <w:proofErr w:type="spellEnd"/>
            <w:r w:rsidRPr="00473E7D">
              <w:rPr>
                <w:sz w:val="22"/>
                <w:szCs w:val="22"/>
                <w:lang w:val="en-US"/>
              </w:rPr>
              <w:t xml:space="preserve"> cu </w:t>
            </w:r>
            <w:proofErr w:type="spellStart"/>
            <w:r w:rsidRPr="00473E7D">
              <w:rPr>
                <w:sz w:val="22"/>
                <w:szCs w:val="22"/>
                <w:lang w:val="en-US"/>
              </w:rPr>
              <w:t>numere</w:t>
            </w:r>
            <w:proofErr w:type="spellEnd"/>
            <w:r w:rsidRPr="00473E7D">
              <w:rPr>
                <w:sz w:val="22"/>
                <w:szCs w:val="22"/>
                <w:lang w:val="en-US"/>
              </w:rPr>
              <w:t xml:space="preserve"> </w:t>
            </w:r>
            <w:proofErr w:type="spellStart"/>
            <w:r w:rsidRPr="00473E7D">
              <w:rPr>
                <w:sz w:val="22"/>
                <w:szCs w:val="22"/>
                <w:lang w:val="en-US"/>
              </w:rPr>
              <w:t>ordinare</w:t>
            </w:r>
            <w:proofErr w:type="spellEnd"/>
            <w:r w:rsidRPr="00473E7D">
              <w:rPr>
                <w:sz w:val="22"/>
                <w:szCs w:val="22"/>
                <w:lang w:val="en-US"/>
              </w:rPr>
              <w:t xml:space="preserve">, </w:t>
            </w:r>
            <w:proofErr w:type="spellStart"/>
            <w:r w:rsidRPr="00473E7D">
              <w:rPr>
                <w:sz w:val="22"/>
                <w:szCs w:val="22"/>
                <w:lang w:val="en-US"/>
              </w:rPr>
              <w:t>exprimate</w:t>
            </w:r>
            <w:proofErr w:type="spellEnd"/>
            <w:r w:rsidRPr="00473E7D">
              <w:rPr>
                <w:sz w:val="22"/>
                <w:szCs w:val="22"/>
                <w:lang w:val="en-US"/>
              </w:rPr>
              <w:t xml:space="preserve"> </w:t>
            </w:r>
            <w:proofErr w:type="spellStart"/>
            <w:r w:rsidRPr="00473E7D">
              <w:rPr>
                <w:sz w:val="22"/>
                <w:szCs w:val="22"/>
                <w:lang w:val="en-US"/>
              </w:rPr>
              <w:t>prin</w:t>
            </w:r>
            <w:proofErr w:type="spellEnd"/>
            <w:r w:rsidRPr="00473E7D">
              <w:rPr>
                <w:sz w:val="22"/>
                <w:szCs w:val="22"/>
                <w:lang w:val="en-US"/>
              </w:rPr>
              <w:t xml:space="preserve"> </w:t>
            </w:r>
            <w:proofErr w:type="spellStart"/>
            <w:r w:rsidRPr="00473E7D">
              <w:rPr>
                <w:sz w:val="22"/>
                <w:szCs w:val="22"/>
                <w:lang w:val="en-US"/>
              </w:rPr>
              <w:t>cifre</w:t>
            </w:r>
            <w:proofErr w:type="spellEnd"/>
            <w:r w:rsidRPr="00473E7D">
              <w:rPr>
                <w:sz w:val="22"/>
                <w:szCs w:val="22"/>
                <w:lang w:val="en-US"/>
              </w:rPr>
              <w:t xml:space="preserve"> </w:t>
            </w:r>
            <w:proofErr w:type="spellStart"/>
            <w:r w:rsidRPr="00473E7D">
              <w:rPr>
                <w:sz w:val="22"/>
                <w:szCs w:val="22"/>
                <w:lang w:val="en-US"/>
              </w:rPr>
              <w:t>arabe</w:t>
            </w:r>
            <w:proofErr w:type="spellEnd"/>
            <w:r w:rsidRPr="00473E7D">
              <w:rPr>
                <w:sz w:val="22"/>
                <w:szCs w:val="22"/>
                <w:lang w:val="en-US"/>
              </w:rPr>
              <w:t xml:space="preserve">, </w:t>
            </w:r>
            <w:proofErr w:type="spellStart"/>
            <w:r w:rsidRPr="00473E7D">
              <w:rPr>
                <w:sz w:val="22"/>
                <w:szCs w:val="22"/>
                <w:lang w:val="en-US"/>
              </w:rPr>
              <w:t>urmate</w:t>
            </w:r>
            <w:proofErr w:type="spellEnd"/>
            <w:r w:rsidRPr="00473E7D">
              <w:rPr>
                <w:sz w:val="22"/>
                <w:szCs w:val="22"/>
                <w:lang w:val="en-US"/>
              </w:rPr>
              <w:t xml:space="preserve"> de </w:t>
            </w:r>
            <w:proofErr w:type="spellStart"/>
            <w:r w:rsidRPr="00473E7D">
              <w:rPr>
                <w:sz w:val="22"/>
                <w:szCs w:val="22"/>
                <w:lang w:val="en-US"/>
              </w:rPr>
              <w:t>punct</w:t>
            </w:r>
            <w:proofErr w:type="spellEnd"/>
            <w:r w:rsidRPr="00473E7D">
              <w:rPr>
                <w:sz w:val="22"/>
                <w:szCs w:val="22"/>
                <w:lang w:val="en-US"/>
              </w:rPr>
              <w:t xml:space="preserve">, </w:t>
            </w:r>
            <w:proofErr w:type="spellStart"/>
            <w:r w:rsidRPr="00473E7D">
              <w:rPr>
                <w:sz w:val="22"/>
                <w:szCs w:val="22"/>
                <w:lang w:val="en-US"/>
              </w:rPr>
              <w:t>începând</w:t>
            </w:r>
            <w:proofErr w:type="spellEnd"/>
            <w:r w:rsidRPr="00473E7D">
              <w:rPr>
                <w:sz w:val="22"/>
                <w:szCs w:val="22"/>
                <w:lang w:val="en-US"/>
              </w:rPr>
              <w:t xml:space="preserve"> cu </w:t>
            </w:r>
            <w:proofErr w:type="spellStart"/>
            <w:r w:rsidRPr="00473E7D">
              <w:rPr>
                <w:sz w:val="22"/>
                <w:szCs w:val="22"/>
                <w:lang w:val="en-US"/>
              </w:rPr>
              <w:t>primul</w:t>
            </w:r>
            <w:proofErr w:type="spellEnd"/>
            <w:r w:rsidRPr="00473E7D">
              <w:rPr>
                <w:sz w:val="22"/>
                <w:szCs w:val="22"/>
                <w:lang w:val="en-US"/>
              </w:rPr>
              <w:t xml:space="preserve"> </w:t>
            </w:r>
            <w:proofErr w:type="spellStart"/>
            <w:r w:rsidRPr="00473E7D">
              <w:rPr>
                <w:sz w:val="22"/>
                <w:szCs w:val="22"/>
                <w:lang w:val="en-US"/>
              </w:rPr>
              <w:t>și</w:t>
            </w:r>
            <w:proofErr w:type="spellEnd"/>
            <w:r w:rsidRPr="00473E7D">
              <w:rPr>
                <w:sz w:val="22"/>
                <w:szCs w:val="22"/>
                <w:lang w:val="en-US"/>
              </w:rPr>
              <w:t xml:space="preserve"> </w:t>
            </w:r>
            <w:proofErr w:type="spellStart"/>
            <w:r w:rsidRPr="00473E7D">
              <w:rPr>
                <w:sz w:val="22"/>
                <w:szCs w:val="22"/>
                <w:lang w:val="en-US"/>
              </w:rPr>
              <w:t>terminând</w:t>
            </w:r>
            <w:proofErr w:type="spellEnd"/>
            <w:r w:rsidRPr="00473E7D">
              <w:rPr>
                <w:sz w:val="22"/>
                <w:szCs w:val="22"/>
                <w:lang w:val="en-US"/>
              </w:rPr>
              <w:t xml:space="preserve"> cu </w:t>
            </w:r>
            <w:proofErr w:type="spellStart"/>
            <w:r w:rsidRPr="00473E7D">
              <w:rPr>
                <w:sz w:val="22"/>
                <w:szCs w:val="22"/>
                <w:lang w:val="en-US"/>
              </w:rPr>
              <w:t>ultimul</w:t>
            </w:r>
            <w:proofErr w:type="spellEnd"/>
            <w:r w:rsidRPr="00473E7D">
              <w:rPr>
                <w:sz w:val="22"/>
                <w:szCs w:val="22"/>
                <w:lang w:val="en-US"/>
              </w:rPr>
              <w:t xml:space="preserve">, de la </w:t>
            </w:r>
            <w:proofErr w:type="spellStart"/>
            <w:r w:rsidRPr="00473E7D">
              <w:rPr>
                <w:sz w:val="22"/>
                <w:szCs w:val="22"/>
                <w:lang w:val="en-US"/>
              </w:rPr>
              <w:t>începutul</w:t>
            </w:r>
            <w:proofErr w:type="spellEnd"/>
            <w:r w:rsidRPr="00473E7D">
              <w:rPr>
                <w:sz w:val="22"/>
                <w:szCs w:val="22"/>
                <w:lang w:val="en-US"/>
              </w:rPr>
              <w:t xml:space="preserve"> </w:t>
            </w:r>
            <w:proofErr w:type="spellStart"/>
            <w:r w:rsidRPr="00473E7D">
              <w:rPr>
                <w:sz w:val="22"/>
                <w:szCs w:val="22"/>
                <w:lang w:val="en-US"/>
              </w:rPr>
              <w:t>şi</w:t>
            </w:r>
            <w:proofErr w:type="spellEnd"/>
            <w:r w:rsidRPr="00473E7D">
              <w:rPr>
                <w:sz w:val="22"/>
                <w:szCs w:val="22"/>
                <w:lang w:val="en-US"/>
              </w:rPr>
              <w:t xml:space="preserve"> </w:t>
            </w:r>
            <w:proofErr w:type="spellStart"/>
            <w:r w:rsidRPr="00473E7D">
              <w:rPr>
                <w:sz w:val="22"/>
                <w:szCs w:val="22"/>
                <w:lang w:val="en-US"/>
              </w:rPr>
              <w:t>până</w:t>
            </w:r>
            <w:proofErr w:type="spellEnd"/>
            <w:r w:rsidRPr="00473E7D">
              <w:rPr>
                <w:sz w:val="22"/>
                <w:szCs w:val="22"/>
                <w:lang w:val="en-US"/>
              </w:rPr>
              <w:t xml:space="preserve"> la </w:t>
            </w:r>
            <w:proofErr w:type="spellStart"/>
            <w:r w:rsidRPr="00473E7D">
              <w:rPr>
                <w:sz w:val="22"/>
                <w:szCs w:val="22"/>
                <w:lang w:val="en-US"/>
              </w:rPr>
              <w:t>sfârşitul</w:t>
            </w:r>
            <w:proofErr w:type="spellEnd"/>
            <w:r w:rsidRPr="00473E7D">
              <w:rPr>
                <w:sz w:val="22"/>
                <w:szCs w:val="22"/>
                <w:lang w:val="en-US"/>
              </w:rPr>
              <w:t xml:space="preserve"> </w:t>
            </w:r>
            <w:proofErr w:type="spellStart"/>
            <w:r w:rsidRPr="00473E7D">
              <w:rPr>
                <w:sz w:val="22"/>
                <w:szCs w:val="22"/>
                <w:lang w:val="en-US"/>
              </w:rPr>
              <w:t>actului</w:t>
            </w:r>
            <w:proofErr w:type="spellEnd"/>
            <w:r w:rsidRPr="00473E7D">
              <w:rPr>
                <w:sz w:val="22"/>
                <w:szCs w:val="22"/>
                <w:lang w:val="en-US"/>
              </w:rPr>
              <w:t xml:space="preserve"> </w:t>
            </w:r>
            <w:proofErr w:type="spellStart"/>
            <w:r w:rsidRPr="00473E7D">
              <w:rPr>
                <w:sz w:val="22"/>
                <w:szCs w:val="22"/>
                <w:lang w:val="en-US"/>
              </w:rPr>
              <w:t>normativ</w:t>
            </w:r>
            <w:proofErr w:type="spellEnd"/>
            <w:r w:rsidRPr="00473E7D">
              <w:rPr>
                <w:sz w:val="22"/>
                <w:szCs w:val="22"/>
                <w:lang w:val="en-US"/>
              </w:rPr>
              <w:t xml:space="preserve">. </w:t>
            </w:r>
            <w:proofErr w:type="spellStart"/>
            <w:r w:rsidRPr="00473E7D">
              <w:rPr>
                <w:sz w:val="22"/>
                <w:szCs w:val="22"/>
                <w:lang w:val="en-US"/>
              </w:rPr>
              <w:t>Pentru</w:t>
            </w:r>
            <w:proofErr w:type="spellEnd"/>
            <w:r w:rsidRPr="00473E7D">
              <w:rPr>
                <w:sz w:val="22"/>
                <w:szCs w:val="22"/>
                <w:lang w:val="en-US"/>
              </w:rPr>
              <w:t xml:space="preserve"> </w:t>
            </w:r>
            <w:proofErr w:type="spellStart"/>
            <w:r w:rsidRPr="00473E7D">
              <w:rPr>
                <w:sz w:val="22"/>
                <w:szCs w:val="22"/>
                <w:lang w:val="en-US"/>
              </w:rPr>
              <w:t>interpretare</w:t>
            </w:r>
            <w:proofErr w:type="spellEnd"/>
            <w:r w:rsidRPr="00473E7D">
              <w:rPr>
                <w:sz w:val="22"/>
                <w:szCs w:val="22"/>
                <w:lang w:val="en-US"/>
              </w:rPr>
              <w:t xml:space="preserve"> </w:t>
            </w:r>
            <w:proofErr w:type="spellStart"/>
            <w:r w:rsidRPr="00473E7D">
              <w:rPr>
                <w:sz w:val="22"/>
                <w:szCs w:val="22"/>
                <w:lang w:val="en-US"/>
              </w:rPr>
              <w:t>corectă</w:t>
            </w:r>
            <w:proofErr w:type="spellEnd"/>
            <w:r w:rsidRPr="00473E7D">
              <w:rPr>
                <w:sz w:val="22"/>
                <w:szCs w:val="22"/>
                <w:lang w:val="en-US"/>
              </w:rPr>
              <w:t xml:space="preserve"> </w:t>
            </w:r>
            <w:proofErr w:type="spellStart"/>
            <w:r w:rsidRPr="00473E7D">
              <w:rPr>
                <w:sz w:val="22"/>
                <w:szCs w:val="22"/>
                <w:lang w:val="en-US"/>
              </w:rPr>
              <w:t>și</w:t>
            </w:r>
            <w:proofErr w:type="spellEnd"/>
            <w:r w:rsidRPr="00473E7D">
              <w:rPr>
                <w:sz w:val="22"/>
                <w:szCs w:val="22"/>
                <w:lang w:val="en-US"/>
              </w:rPr>
              <w:t xml:space="preserve"> </w:t>
            </w:r>
            <w:proofErr w:type="spellStart"/>
            <w:r w:rsidRPr="00473E7D">
              <w:rPr>
                <w:sz w:val="22"/>
                <w:szCs w:val="22"/>
                <w:lang w:val="en-US"/>
              </w:rPr>
              <w:t>aplicare</w:t>
            </w:r>
            <w:proofErr w:type="spellEnd"/>
            <w:r w:rsidRPr="00473E7D">
              <w:rPr>
                <w:sz w:val="22"/>
                <w:szCs w:val="22"/>
                <w:lang w:val="en-US"/>
              </w:rPr>
              <w:t xml:space="preserve"> </w:t>
            </w:r>
            <w:proofErr w:type="spellStart"/>
            <w:r w:rsidRPr="00473E7D">
              <w:rPr>
                <w:sz w:val="22"/>
                <w:szCs w:val="22"/>
                <w:lang w:val="en-US"/>
              </w:rPr>
              <w:t>comodă</w:t>
            </w:r>
            <w:proofErr w:type="spellEnd"/>
            <w:r w:rsidRPr="00473E7D">
              <w:rPr>
                <w:sz w:val="22"/>
                <w:szCs w:val="22"/>
                <w:lang w:val="en-US"/>
              </w:rPr>
              <w:t xml:space="preserve">, </w:t>
            </w:r>
            <w:proofErr w:type="spellStart"/>
            <w:r w:rsidRPr="00473E7D">
              <w:rPr>
                <w:sz w:val="22"/>
                <w:szCs w:val="22"/>
                <w:lang w:val="en-US"/>
              </w:rPr>
              <w:t>punctele</w:t>
            </w:r>
            <w:proofErr w:type="spellEnd"/>
            <w:r w:rsidRPr="00473E7D">
              <w:rPr>
                <w:sz w:val="22"/>
                <w:szCs w:val="22"/>
                <w:lang w:val="en-US"/>
              </w:rPr>
              <w:t xml:space="preserve"> pot fi </w:t>
            </w:r>
            <w:proofErr w:type="spellStart"/>
            <w:r w:rsidRPr="00473E7D">
              <w:rPr>
                <w:sz w:val="22"/>
                <w:szCs w:val="22"/>
                <w:lang w:val="en-US"/>
              </w:rPr>
              <w:t>divizate</w:t>
            </w:r>
            <w:proofErr w:type="spellEnd"/>
            <w:r w:rsidRPr="00473E7D">
              <w:rPr>
                <w:sz w:val="22"/>
                <w:szCs w:val="22"/>
                <w:lang w:val="en-US"/>
              </w:rPr>
              <w:t xml:space="preserve"> </w:t>
            </w:r>
            <w:proofErr w:type="spellStart"/>
            <w:r w:rsidRPr="00473E7D">
              <w:rPr>
                <w:sz w:val="22"/>
                <w:szCs w:val="22"/>
                <w:lang w:val="en-US"/>
              </w:rPr>
              <w:t>în</w:t>
            </w:r>
            <w:proofErr w:type="spellEnd"/>
            <w:r w:rsidRPr="00473E7D">
              <w:rPr>
                <w:sz w:val="22"/>
                <w:szCs w:val="22"/>
                <w:lang w:val="en-US"/>
              </w:rPr>
              <w:t xml:space="preserve"> </w:t>
            </w:r>
            <w:proofErr w:type="spellStart"/>
            <w:r w:rsidRPr="00473E7D">
              <w:rPr>
                <w:sz w:val="22"/>
                <w:szCs w:val="22"/>
                <w:lang w:val="en-US"/>
              </w:rPr>
              <w:t>subpuncte</w:t>
            </w:r>
            <w:proofErr w:type="spellEnd"/>
            <w:r w:rsidRPr="00473E7D">
              <w:rPr>
                <w:sz w:val="22"/>
                <w:szCs w:val="22"/>
                <w:lang w:val="en-US"/>
              </w:rPr>
              <w:t xml:space="preserve"> care se </w:t>
            </w:r>
            <w:proofErr w:type="spellStart"/>
            <w:r w:rsidRPr="00473E7D">
              <w:rPr>
                <w:sz w:val="22"/>
                <w:szCs w:val="22"/>
                <w:lang w:val="en-US"/>
              </w:rPr>
              <w:t>numerotează</w:t>
            </w:r>
            <w:proofErr w:type="spellEnd"/>
            <w:r w:rsidRPr="00473E7D">
              <w:rPr>
                <w:sz w:val="22"/>
                <w:szCs w:val="22"/>
                <w:lang w:val="en-US"/>
              </w:rPr>
              <w:t xml:space="preserve"> </w:t>
            </w:r>
            <w:proofErr w:type="spellStart"/>
            <w:r w:rsidRPr="00473E7D">
              <w:rPr>
                <w:sz w:val="22"/>
                <w:szCs w:val="22"/>
                <w:lang w:val="en-US"/>
              </w:rPr>
              <w:t>prin</w:t>
            </w:r>
            <w:proofErr w:type="spellEnd"/>
            <w:r w:rsidRPr="00473E7D">
              <w:rPr>
                <w:sz w:val="22"/>
                <w:szCs w:val="22"/>
                <w:lang w:val="en-US"/>
              </w:rPr>
              <w:t xml:space="preserve"> </w:t>
            </w:r>
            <w:proofErr w:type="spellStart"/>
            <w:r w:rsidRPr="00473E7D">
              <w:rPr>
                <w:sz w:val="22"/>
                <w:szCs w:val="22"/>
                <w:lang w:val="en-US"/>
              </w:rPr>
              <w:t>adăugarea</w:t>
            </w:r>
            <w:proofErr w:type="spellEnd"/>
            <w:r w:rsidRPr="00473E7D">
              <w:rPr>
                <w:sz w:val="22"/>
                <w:szCs w:val="22"/>
                <w:lang w:val="en-US"/>
              </w:rPr>
              <w:t xml:space="preserve"> </w:t>
            </w:r>
            <w:proofErr w:type="spellStart"/>
            <w:r w:rsidRPr="00473E7D">
              <w:rPr>
                <w:sz w:val="22"/>
                <w:szCs w:val="22"/>
                <w:lang w:val="en-US"/>
              </w:rPr>
              <w:t>consecutivă</w:t>
            </w:r>
            <w:proofErr w:type="spellEnd"/>
            <w:r w:rsidRPr="00473E7D">
              <w:rPr>
                <w:sz w:val="22"/>
                <w:szCs w:val="22"/>
                <w:lang w:val="en-US"/>
              </w:rPr>
              <w:t xml:space="preserve"> a </w:t>
            </w:r>
            <w:proofErr w:type="spellStart"/>
            <w:r w:rsidRPr="00473E7D">
              <w:rPr>
                <w:sz w:val="22"/>
                <w:szCs w:val="22"/>
                <w:lang w:val="en-US"/>
              </w:rPr>
              <w:t>cifrelor</w:t>
            </w:r>
            <w:proofErr w:type="spellEnd"/>
            <w:r w:rsidRPr="00473E7D">
              <w:rPr>
                <w:sz w:val="22"/>
                <w:szCs w:val="22"/>
                <w:lang w:val="en-US"/>
              </w:rPr>
              <w:t xml:space="preserve"> </w:t>
            </w:r>
            <w:proofErr w:type="spellStart"/>
            <w:r w:rsidRPr="00473E7D">
              <w:rPr>
                <w:sz w:val="22"/>
                <w:szCs w:val="22"/>
                <w:lang w:val="en-US"/>
              </w:rPr>
              <w:t>arabe</w:t>
            </w:r>
            <w:proofErr w:type="spellEnd"/>
            <w:r w:rsidRPr="00473E7D">
              <w:rPr>
                <w:sz w:val="22"/>
                <w:szCs w:val="22"/>
                <w:lang w:val="en-US"/>
              </w:rPr>
              <w:t xml:space="preserve">, </w:t>
            </w:r>
            <w:proofErr w:type="spellStart"/>
            <w:r w:rsidRPr="00473E7D">
              <w:rPr>
                <w:sz w:val="22"/>
                <w:szCs w:val="22"/>
                <w:lang w:val="en-US"/>
              </w:rPr>
              <w:t>până</w:t>
            </w:r>
            <w:proofErr w:type="spellEnd"/>
            <w:r w:rsidRPr="00473E7D">
              <w:rPr>
                <w:sz w:val="22"/>
                <w:szCs w:val="22"/>
                <w:lang w:val="en-US"/>
              </w:rPr>
              <w:t xml:space="preserve"> la </w:t>
            </w:r>
            <w:proofErr w:type="spellStart"/>
            <w:r w:rsidRPr="00473E7D">
              <w:rPr>
                <w:sz w:val="22"/>
                <w:szCs w:val="22"/>
                <w:lang w:val="en-US"/>
              </w:rPr>
              <w:t>gradul</w:t>
            </w:r>
            <w:proofErr w:type="spellEnd"/>
            <w:r w:rsidRPr="00473E7D">
              <w:rPr>
                <w:sz w:val="22"/>
                <w:szCs w:val="22"/>
                <w:lang w:val="en-US"/>
              </w:rPr>
              <w:t xml:space="preserve"> de </w:t>
            </w:r>
            <w:proofErr w:type="spellStart"/>
            <w:r w:rsidRPr="00473E7D">
              <w:rPr>
                <w:sz w:val="22"/>
                <w:szCs w:val="22"/>
                <w:lang w:val="en-US"/>
              </w:rPr>
              <w:t>detaliere</w:t>
            </w:r>
            <w:proofErr w:type="spellEnd"/>
            <w:r w:rsidRPr="00473E7D">
              <w:rPr>
                <w:sz w:val="22"/>
                <w:szCs w:val="22"/>
                <w:lang w:val="en-US"/>
              </w:rPr>
              <w:t xml:space="preserve"> </w:t>
            </w:r>
            <w:proofErr w:type="spellStart"/>
            <w:r w:rsidRPr="00473E7D">
              <w:rPr>
                <w:sz w:val="22"/>
                <w:szCs w:val="22"/>
                <w:lang w:val="en-US"/>
              </w:rPr>
              <w:t>necesar</w:t>
            </w:r>
            <w:proofErr w:type="spellEnd"/>
            <w:r w:rsidRPr="00473E7D">
              <w:rPr>
                <w:sz w:val="22"/>
                <w:szCs w:val="22"/>
                <w:lang w:val="en-US"/>
              </w:rPr>
              <w:t>.</w:t>
            </w:r>
            <w:r w:rsidRPr="00473E7D">
              <w:rPr>
                <w:sz w:val="22"/>
                <w:szCs w:val="22"/>
                <w:lang w:val="ro-MD"/>
              </w:rPr>
              <w:t xml:space="preserve"> </w:t>
            </w:r>
            <w:proofErr w:type="spellStart"/>
            <w:r w:rsidRPr="00473E7D">
              <w:rPr>
                <w:sz w:val="22"/>
                <w:szCs w:val="22"/>
                <w:lang w:val="en-US"/>
              </w:rPr>
              <w:t>Ținând</w:t>
            </w:r>
            <w:proofErr w:type="spellEnd"/>
            <w:r w:rsidRPr="00473E7D">
              <w:rPr>
                <w:sz w:val="22"/>
                <w:szCs w:val="22"/>
                <w:lang w:val="en-US"/>
              </w:rPr>
              <w:t xml:space="preserve"> </w:t>
            </w:r>
            <w:proofErr w:type="spellStart"/>
            <w:r w:rsidRPr="00473E7D">
              <w:rPr>
                <w:sz w:val="22"/>
                <w:szCs w:val="22"/>
                <w:lang w:val="en-US"/>
              </w:rPr>
              <w:t>cont</w:t>
            </w:r>
            <w:proofErr w:type="spellEnd"/>
            <w:r w:rsidRPr="00473E7D">
              <w:rPr>
                <w:sz w:val="22"/>
                <w:szCs w:val="22"/>
                <w:lang w:val="en-US"/>
              </w:rPr>
              <w:t xml:space="preserve"> de </w:t>
            </w:r>
            <w:proofErr w:type="spellStart"/>
            <w:r w:rsidRPr="00473E7D">
              <w:rPr>
                <w:sz w:val="22"/>
                <w:szCs w:val="22"/>
                <w:lang w:val="en-US"/>
              </w:rPr>
              <w:t>prevederea</w:t>
            </w:r>
            <w:proofErr w:type="spellEnd"/>
            <w:r w:rsidRPr="00473E7D">
              <w:rPr>
                <w:sz w:val="22"/>
                <w:szCs w:val="22"/>
                <w:lang w:val="en-US"/>
              </w:rPr>
              <w:t xml:space="preserve"> </w:t>
            </w:r>
            <w:proofErr w:type="spellStart"/>
            <w:r w:rsidRPr="00473E7D">
              <w:rPr>
                <w:sz w:val="22"/>
                <w:szCs w:val="22"/>
                <w:lang w:val="en-US"/>
              </w:rPr>
              <w:t>legală</w:t>
            </w:r>
            <w:proofErr w:type="spellEnd"/>
            <w:r w:rsidRPr="00473E7D">
              <w:rPr>
                <w:sz w:val="22"/>
                <w:szCs w:val="22"/>
                <w:lang w:val="en-US"/>
              </w:rPr>
              <w:t xml:space="preserve"> </w:t>
            </w:r>
            <w:proofErr w:type="spellStart"/>
            <w:r w:rsidRPr="00473E7D">
              <w:rPr>
                <w:sz w:val="22"/>
                <w:szCs w:val="22"/>
                <w:lang w:val="en-US"/>
              </w:rPr>
              <w:t>enunțată</w:t>
            </w:r>
            <w:proofErr w:type="spellEnd"/>
            <w:r w:rsidRPr="00473E7D">
              <w:rPr>
                <w:sz w:val="22"/>
                <w:szCs w:val="22"/>
                <w:lang w:val="en-US"/>
              </w:rPr>
              <w:t xml:space="preserve">, </w:t>
            </w:r>
            <w:proofErr w:type="spellStart"/>
            <w:r w:rsidRPr="00473E7D">
              <w:rPr>
                <w:sz w:val="22"/>
                <w:szCs w:val="22"/>
                <w:lang w:val="en-US"/>
              </w:rPr>
              <w:t>subpunctele</w:t>
            </w:r>
            <w:proofErr w:type="spellEnd"/>
            <w:r w:rsidRPr="00473E7D">
              <w:rPr>
                <w:sz w:val="22"/>
                <w:szCs w:val="22"/>
                <w:lang w:val="en-US"/>
              </w:rPr>
              <w:t xml:space="preserve"> se </w:t>
            </w:r>
            <w:proofErr w:type="spellStart"/>
            <w:r w:rsidRPr="00473E7D">
              <w:rPr>
                <w:sz w:val="22"/>
                <w:szCs w:val="22"/>
                <w:lang w:val="en-US"/>
              </w:rPr>
              <w:t>vor</w:t>
            </w:r>
            <w:proofErr w:type="spellEnd"/>
            <w:r w:rsidRPr="00473E7D">
              <w:rPr>
                <w:sz w:val="22"/>
                <w:szCs w:val="22"/>
                <w:lang w:val="en-US"/>
              </w:rPr>
              <w:t xml:space="preserve"> </w:t>
            </w:r>
            <w:proofErr w:type="spellStart"/>
            <w:r w:rsidRPr="00473E7D">
              <w:rPr>
                <w:sz w:val="22"/>
                <w:szCs w:val="22"/>
                <w:lang w:val="en-US"/>
              </w:rPr>
              <w:t>renumerota</w:t>
            </w:r>
            <w:proofErr w:type="spellEnd"/>
            <w:r w:rsidRPr="00473E7D">
              <w:rPr>
                <w:sz w:val="22"/>
                <w:szCs w:val="22"/>
                <w:lang w:val="en-US"/>
              </w:rPr>
              <w:t xml:space="preserve"> conform </w:t>
            </w:r>
            <w:proofErr w:type="spellStart"/>
            <w:r w:rsidRPr="00473E7D">
              <w:rPr>
                <w:sz w:val="22"/>
                <w:szCs w:val="22"/>
                <w:lang w:val="en-US"/>
              </w:rPr>
              <w:t>prevederilor</w:t>
            </w:r>
            <w:proofErr w:type="spellEnd"/>
            <w:r w:rsidRPr="00473E7D">
              <w:rPr>
                <w:sz w:val="22"/>
                <w:szCs w:val="22"/>
                <w:lang w:val="en-US"/>
              </w:rPr>
              <w:t xml:space="preserve"> </w:t>
            </w:r>
            <w:proofErr w:type="spellStart"/>
            <w:r w:rsidRPr="00473E7D">
              <w:rPr>
                <w:sz w:val="22"/>
                <w:szCs w:val="22"/>
                <w:lang w:val="en-US"/>
              </w:rPr>
              <w:t>legale</w:t>
            </w:r>
            <w:proofErr w:type="spellEnd"/>
            <w:r w:rsidRPr="00473E7D">
              <w:rPr>
                <w:sz w:val="22"/>
                <w:szCs w:val="22"/>
                <w:lang w:val="en-US"/>
              </w:rPr>
              <w:t xml:space="preserve"> </w:t>
            </w:r>
            <w:proofErr w:type="spellStart"/>
            <w:r w:rsidRPr="00473E7D">
              <w:rPr>
                <w:sz w:val="22"/>
                <w:szCs w:val="22"/>
                <w:lang w:val="en-US"/>
              </w:rPr>
              <w:t>enunțate</w:t>
            </w:r>
            <w:proofErr w:type="spellEnd"/>
            <w:r w:rsidRPr="00473E7D">
              <w:rPr>
                <w:sz w:val="22"/>
                <w:szCs w:val="22"/>
                <w:lang w:val="en-US"/>
              </w:rPr>
              <w:t>.</w:t>
            </w:r>
            <w:r w:rsidRPr="00473E7D">
              <w:rPr>
                <w:sz w:val="22"/>
                <w:szCs w:val="22"/>
                <w:lang w:val="ro-MD"/>
              </w:rPr>
              <w:t xml:space="preserve"> </w:t>
            </w:r>
            <w:proofErr w:type="spellStart"/>
            <w:r w:rsidRPr="00473E7D">
              <w:rPr>
                <w:rFonts w:eastAsia="Calibri"/>
                <w:sz w:val="22"/>
                <w:szCs w:val="22"/>
                <w:lang w:val="en-US"/>
              </w:rPr>
              <w:t>Spre</w:t>
            </w:r>
            <w:proofErr w:type="spellEnd"/>
            <w:r w:rsidRPr="00473E7D">
              <w:rPr>
                <w:rFonts w:eastAsia="Calibri"/>
                <w:sz w:val="22"/>
                <w:szCs w:val="22"/>
                <w:lang w:val="en-US"/>
              </w:rPr>
              <w:t xml:space="preserve"> </w:t>
            </w:r>
            <w:proofErr w:type="spellStart"/>
            <w:r w:rsidRPr="00473E7D">
              <w:rPr>
                <w:rFonts w:eastAsia="Calibri"/>
                <w:sz w:val="22"/>
                <w:szCs w:val="22"/>
                <w:lang w:val="en-US"/>
              </w:rPr>
              <w:t>exemplificare</w:t>
            </w:r>
            <w:proofErr w:type="spellEnd"/>
            <w:r w:rsidRPr="00473E7D">
              <w:rPr>
                <w:rFonts w:eastAsia="Calibri"/>
                <w:sz w:val="22"/>
                <w:szCs w:val="22"/>
                <w:lang w:val="en-US"/>
              </w:rPr>
              <w:t xml:space="preserve">, </w:t>
            </w:r>
            <w:proofErr w:type="spellStart"/>
            <w:r w:rsidRPr="00473E7D">
              <w:rPr>
                <w:rFonts w:eastAsia="Calibri"/>
                <w:sz w:val="22"/>
                <w:szCs w:val="22"/>
                <w:lang w:val="en-US"/>
              </w:rPr>
              <w:t>în</w:t>
            </w:r>
            <w:proofErr w:type="spellEnd"/>
            <w:r w:rsidRPr="00473E7D">
              <w:rPr>
                <w:rFonts w:eastAsia="Calibri"/>
                <w:sz w:val="22"/>
                <w:szCs w:val="22"/>
                <w:lang w:val="en-US"/>
              </w:rPr>
              <w:t xml:space="preserve"> </w:t>
            </w:r>
            <w:proofErr w:type="spellStart"/>
            <w:r w:rsidRPr="00473E7D">
              <w:rPr>
                <w:rFonts w:eastAsia="Calibri"/>
                <w:sz w:val="22"/>
                <w:szCs w:val="22"/>
                <w:lang w:val="en-US"/>
              </w:rPr>
              <w:t>cazul</w:t>
            </w:r>
            <w:proofErr w:type="spellEnd"/>
            <w:r w:rsidRPr="00473E7D">
              <w:rPr>
                <w:rFonts w:eastAsia="Calibri"/>
                <w:sz w:val="22"/>
                <w:szCs w:val="22"/>
                <w:lang w:val="en-US"/>
              </w:rPr>
              <w:t xml:space="preserve"> </w:t>
            </w:r>
            <w:proofErr w:type="spellStart"/>
            <w:r w:rsidRPr="00473E7D">
              <w:rPr>
                <w:rFonts w:eastAsia="Calibri"/>
                <w:sz w:val="22"/>
                <w:szCs w:val="22"/>
                <w:lang w:val="en-US"/>
              </w:rPr>
              <w:t>diviziunilor</w:t>
            </w:r>
            <w:proofErr w:type="spellEnd"/>
            <w:r w:rsidRPr="00473E7D">
              <w:rPr>
                <w:rFonts w:eastAsia="Calibri"/>
                <w:sz w:val="22"/>
                <w:szCs w:val="22"/>
                <w:lang w:val="en-US"/>
              </w:rPr>
              <w:t xml:space="preserve"> pct. </w:t>
            </w:r>
            <w:r w:rsidRPr="00473E7D">
              <w:rPr>
                <w:rFonts w:eastAsia="Calibri"/>
                <w:sz w:val="22"/>
                <w:szCs w:val="22"/>
                <w:lang w:val="ro-MD"/>
              </w:rPr>
              <w:t>8</w:t>
            </w:r>
            <w:r w:rsidRPr="00473E7D">
              <w:rPr>
                <w:rFonts w:eastAsia="Calibri"/>
                <w:sz w:val="22"/>
                <w:szCs w:val="22"/>
                <w:lang w:val="en-US"/>
              </w:rPr>
              <w:t xml:space="preserve"> </w:t>
            </w:r>
            <w:proofErr w:type="spellStart"/>
            <w:r w:rsidRPr="00473E7D">
              <w:rPr>
                <w:rFonts w:eastAsia="Calibri"/>
                <w:sz w:val="22"/>
                <w:szCs w:val="22"/>
                <w:lang w:val="en-US"/>
              </w:rPr>
              <w:t>numerotate</w:t>
            </w:r>
            <w:proofErr w:type="spellEnd"/>
            <w:r w:rsidRPr="00473E7D">
              <w:rPr>
                <w:rFonts w:eastAsia="Calibri"/>
                <w:sz w:val="22"/>
                <w:szCs w:val="22"/>
                <w:lang w:val="en-US"/>
              </w:rPr>
              <w:t xml:space="preserve"> </w:t>
            </w:r>
            <w:proofErr w:type="spellStart"/>
            <w:r w:rsidRPr="00473E7D">
              <w:rPr>
                <w:rFonts w:eastAsia="Calibri"/>
                <w:sz w:val="22"/>
                <w:szCs w:val="22"/>
                <w:lang w:val="en-US"/>
              </w:rPr>
              <w:t>prin</w:t>
            </w:r>
            <w:proofErr w:type="spellEnd"/>
            <w:r w:rsidRPr="00473E7D">
              <w:rPr>
                <w:rFonts w:eastAsia="Calibri"/>
                <w:sz w:val="22"/>
                <w:szCs w:val="22"/>
                <w:lang w:val="en-US"/>
              </w:rPr>
              <w:t xml:space="preserve"> </w:t>
            </w:r>
            <w:proofErr w:type="spellStart"/>
            <w:r w:rsidRPr="00473E7D">
              <w:rPr>
                <w:rFonts w:eastAsia="Calibri"/>
                <w:sz w:val="22"/>
                <w:szCs w:val="22"/>
                <w:lang w:val="en-US"/>
              </w:rPr>
              <w:t>sbp</w:t>
            </w:r>
            <w:proofErr w:type="spellEnd"/>
            <w:r w:rsidRPr="00473E7D">
              <w:rPr>
                <w:rFonts w:eastAsia="Calibri"/>
                <w:sz w:val="22"/>
                <w:szCs w:val="22"/>
                <w:lang w:val="en-US"/>
              </w:rPr>
              <w:t>. 1)-</w:t>
            </w:r>
            <w:r w:rsidRPr="00473E7D">
              <w:rPr>
                <w:rFonts w:eastAsia="Calibri"/>
                <w:sz w:val="22"/>
                <w:szCs w:val="22"/>
                <w:lang w:val="ro-MD"/>
              </w:rPr>
              <w:t>4</w:t>
            </w:r>
            <w:r w:rsidRPr="00473E7D">
              <w:rPr>
                <w:rFonts w:eastAsia="Calibri"/>
                <w:sz w:val="22"/>
                <w:szCs w:val="22"/>
                <w:lang w:val="en-US"/>
              </w:rPr>
              <w:t xml:space="preserve">), </w:t>
            </w:r>
            <w:proofErr w:type="spellStart"/>
            <w:r w:rsidRPr="00473E7D">
              <w:rPr>
                <w:rFonts w:eastAsia="Calibri"/>
                <w:sz w:val="22"/>
                <w:szCs w:val="22"/>
                <w:lang w:val="en-US"/>
              </w:rPr>
              <w:t>acestea</w:t>
            </w:r>
            <w:proofErr w:type="spellEnd"/>
            <w:r w:rsidRPr="00473E7D">
              <w:rPr>
                <w:rFonts w:eastAsia="Calibri"/>
                <w:sz w:val="22"/>
                <w:szCs w:val="22"/>
                <w:lang w:val="en-US"/>
              </w:rPr>
              <w:t xml:space="preserve"> se </w:t>
            </w:r>
            <w:proofErr w:type="spellStart"/>
            <w:r w:rsidRPr="00473E7D">
              <w:rPr>
                <w:rFonts w:eastAsia="Calibri"/>
                <w:sz w:val="22"/>
                <w:szCs w:val="22"/>
                <w:lang w:val="en-US"/>
              </w:rPr>
              <w:t>vor</w:t>
            </w:r>
            <w:proofErr w:type="spellEnd"/>
            <w:r w:rsidRPr="00473E7D">
              <w:rPr>
                <w:rFonts w:eastAsia="Calibri"/>
                <w:sz w:val="22"/>
                <w:szCs w:val="22"/>
                <w:lang w:val="en-US"/>
              </w:rPr>
              <w:t xml:space="preserve"> </w:t>
            </w:r>
            <w:proofErr w:type="spellStart"/>
            <w:r w:rsidRPr="00473E7D">
              <w:rPr>
                <w:rFonts w:eastAsia="Calibri"/>
                <w:sz w:val="22"/>
                <w:szCs w:val="22"/>
                <w:lang w:val="en-US"/>
              </w:rPr>
              <w:t>numerota</w:t>
            </w:r>
            <w:proofErr w:type="spellEnd"/>
            <w:r w:rsidRPr="00473E7D">
              <w:rPr>
                <w:rFonts w:eastAsia="Calibri"/>
                <w:sz w:val="22"/>
                <w:szCs w:val="22"/>
                <w:lang w:val="en-US"/>
              </w:rPr>
              <w:t xml:space="preserve"> </w:t>
            </w:r>
            <w:proofErr w:type="spellStart"/>
            <w:r w:rsidRPr="00473E7D">
              <w:rPr>
                <w:rFonts w:eastAsia="Calibri"/>
                <w:sz w:val="22"/>
                <w:szCs w:val="22"/>
                <w:lang w:val="en-US"/>
              </w:rPr>
              <w:t>prin</w:t>
            </w:r>
            <w:proofErr w:type="spellEnd"/>
            <w:r w:rsidRPr="00473E7D">
              <w:rPr>
                <w:rFonts w:eastAsia="Calibri"/>
                <w:sz w:val="22"/>
                <w:szCs w:val="22"/>
                <w:lang w:val="en-US"/>
              </w:rPr>
              <w:t xml:space="preserve"> </w:t>
            </w:r>
            <w:r w:rsidRPr="00473E7D">
              <w:rPr>
                <w:rFonts w:eastAsia="Calibri"/>
                <w:sz w:val="22"/>
                <w:szCs w:val="22"/>
                <w:lang w:val="ro-MD"/>
              </w:rPr>
              <w:t>8</w:t>
            </w:r>
            <w:r w:rsidRPr="00473E7D">
              <w:rPr>
                <w:rFonts w:eastAsia="Calibri"/>
                <w:sz w:val="22"/>
                <w:szCs w:val="22"/>
                <w:lang w:val="en-US"/>
              </w:rPr>
              <w:t xml:space="preserve">.1, </w:t>
            </w:r>
            <w:r w:rsidRPr="00473E7D">
              <w:rPr>
                <w:rFonts w:eastAsia="Calibri"/>
                <w:sz w:val="22"/>
                <w:szCs w:val="22"/>
                <w:lang w:val="ro-MD"/>
              </w:rPr>
              <w:t>8</w:t>
            </w:r>
            <w:r w:rsidRPr="00473E7D">
              <w:rPr>
                <w:rFonts w:eastAsia="Calibri"/>
                <w:sz w:val="22"/>
                <w:szCs w:val="22"/>
                <w:lang w:val="en-US"/>
              </w:rPr>
              <w:t xml:space="preserve">.2, </w:t>
            </w:r>
            <w:r w:rsidRPr="00473E7D">
              <w:rPr>
                <w:rFonts w:eastAsia="Calibri"/>
                <w:sz w:val="22"/>
                <w:szCs w:val="22"/>
                <w:lang w:val="ro-MD"/>
              </w:rPr>
              <w:t>8</w:t>
            </w:r>
            <w:r w:rsidRPr="00473E7D">
              <w:rPr>
                <w:rFonts w:eastAsia="Calibri"/>
                <w:sz w:val="22"/>
                <w:szCs w:val="22"/>
                <w:lang w:val="en-US"/>
              </w:rPr>
              <w:t>.3</w:t>
            </w:r>
            <w:r w:rsidRPr="00473E7D">
              <w:rPr>
                <w:rFonts w:eastAsia="Calibri"/>
                <w:sz w:val="22"/>
                <w:szCs w:val="22"/>
                <w:lang w:val="ro-MD"/>
              </w:rPr>
              <w:t xml:space="preserve"> și</w:t>
            </w:r>
            <w:r w:rsidRPr="00473E7D">
              <w:rPr>
                <w:rFonts w:eastAsia="Calibri"/>
                <w:sz w:val="22"/>
                <w:szCs w:val="22"/>
                <w:lang w:val="en-US"/>
              </w:rPr>
              <w:t xml:space="preserve"> </w:t>
            </w:r>
            <w:r w:rsidRPr="00473E7D">
              <w:rPr>
                <w:rFonts w:eastAsia="Calibri"/>
                <w:sz w:val="22"/>
                <w:szCs w:val="22"/>
                <w:lang w:val="ro-MD"/>
              </w:rPr>
              <w:t>8</w:t>
            </w:r>
            <w:r w:rsidRPr="00473E7D">
              <w:rPr>
                <w:rFonts w:eastAsia="Calibri"/>
                <w:sz w:val="22"/>
                <w:szCs w:val="22"/>
                <w:lang w:val="en-US"/>
              </w:rPr>
              <w:t>.4</w:t>
            </w:r>
            <w:r w:rsidRPr="00473E7D">
              <w:rPr>
                <w:rFonts w:eastAsia="Calibri"/>
                <w:sz w:val="22"/>
                <w:szCs w:val="22"/>
                <w:lang w:val="ro-MD"/>
              </w:rPr>
              <w:t>, respectiv, 8.4.1, 8.4.2, 8.4.3, 8.4.4.</w:t>
            </w:r>
          </w:p>
          <w:p w14:paraId="7EB7FB23" w14:textId="70963BF4" w:rsidR="00473E7D" w:rsidRPr="00473E7D" w:rsidRDefault="00473E7D" w:rsidP="009523BD">
            <w:pPr>
              <w:tabs>
                <w:tab w:val="left" w:pos="426"/>
              </w:tabs>
              <w:jc w:val="both"/>
              <w:rPr>
                <w:b/>
                <w:sz w:val="22"/>
                <w:szCs w:val="22"/>
                <w:lang w:val="en-US"/>
              </w:rPr>
            </w:pPr>
            <w:r w:rsidRPr="00473E7D">
              <w:rPr>
                <w:sz w:val="22"/>
                <w:szCs w:val="22"/>
                <w:lang w:val="en-US"/>
              </w:rPr>
              <w:tab/>
            </w:r>
            <w:proofErr w:type="spellStart"/>
            <w:r w:rsidRPr="00473E7D">
              <w:rPr>
                <w:sz w:val="22"/>
                <w:szCs w:val="22"/>
                <w:lang w:val="en-US"/>
              </w:rPr>
              <w:t>În</w:t>
            </w:r>
            <w:proofErr w:type="spellEnd"/>
            <w:r w:rsidRPr="00473E7D">
              <w:rPr>
                <w:sz w:val="22"/>
                <w:szCs w:val="22"/>
                <w:lang w:val="en-US"/>
              </w:rPr>
              <w:t xml:space="preserve"> </w:t>
            </w:r>
            <w:proofErr w:type="spellStart"/>
            <w:r w:rsidRPr="00473E7D">
              <w:rPr>
                <w:sz w:val="22"/>
                <w:szCs w:val="22"/>
                <w:lang w:val="en-US"/>
              </w:rPr>
              <w:t>subsidiar</w:t>
            </w:r>
            <w:proofErr w:type="spellEnd"/>
            <w:r w:rsidRPr="00473E7D">
              <w:rPr>
                <w:sz w:val="22"/>
                <w:szCs w:val="22"/>
                <w:lang w:val="en-US"/>
              </w:rPr>
              <w:t xml:space="preserve">, Nota </w:t>
            </w:r>
            <w:proofErr w:type="spellStart"/>
            <w:r w:rsidRPr="00473E7D">
              <w:rPr>
                <w:sz w:val="22"/>
                <w:szCs w:val="22"/>
                <w:lang w:val="en-US"/>
              </w:rPr>
              <w:t>informativă</w:t>
            </w:r>
            <w:proofErr w:type="spellEnd"/>
            <w:r w:rsidRPr="00473E7D">
              <w:rPr>
                <w:sz w:val="22"/>
                <w:szCs w:val="22"/>
                <w:lang w:val="en-US"/>
              </w:rPr>
              <w:t xml:space="preserve"> se </w:t>
            </w:r>
            <w:proofErr w:type="spellStart"/>
            <w:r w:rsidRPr="00473E7D">
              <w:rPr>
                <w:sz w:val="22"/>
                <w:szCs w:val="22"/>
                <w:lang w:val="en-US"/>
              </w:rPr>
              <w:t>va</w:t>
            </w:r>
            <w:proofErr w:type="spellEnd"/>
            <w:r w:rsidRPr="00473E7D">
              <w:rPr>
                <w:sz w:val="22"/>
                <w:szCs w:val="22"/>
                <w:lang w:val="en-US"/>
              </w:rPr>
              <w:t xml:space="preserve"> </w:t>
            </w:r>
            <w:proofErr w:type="spellStart"/>
            <w:r w:rsidRPr="00473E7D">
              <w:rPr>
                <w:sz w:val="22"/>
                <w:szCs w:val="22"/>
                <w:lang w:val="en-US"/>
              </w:rPr>
              <w:t>înlocui</w:t>
            </w:r>
            <w:proofErr w:type="spellEnd"/>
            <w:r w:rsidRPr="00473E7D">
              <w:rPr>
                <w:sz w:val="22"/>
                <w:szCs w:val="22"/>
                <w:lang w:val="en-US"/>
              </w:rPr>
              <w:t xml:space="preserve"> cu Nota de </w:t>
            </w:r>
            <w:proofErr w:type="spellStart"/>
            <w:r w:rsidRPr="00473E7D">
              <w:rPr>
                <w:sz w:val="22"/>
                <w:szCs w:val="22"/>
                <w:lang w:val="en-US"/>
              </w:rPr>
              <w:t>fundamentare</w:t>
            </w:r>
            <w:proofErr w:type="spellEnd"/>
            <w:r w:rsidRPr="00473E7D">
              <w:rPr>
                <w:sz w:val="22"/>
                <w:szCs w:val="22"/>
                <w:lang w:val="en-US"/>
              </w:rPr>
              <w:t xml:space="preserve"> </w:t>
            </w:r>
            <w:proofErr w:type="spellStart"/>
            <w:r w:rsidRPr="00473E7D">
              <w:rPr>
                <w:sz w:val="22"/>
                <w:szCs w:val="22"/>
                <w:lang w:val="en-US"/>
              </w:rPr>
              <w:t>și</w:t>
            </w:r>
            <w:proofErr w:type="spellEnd"/>
            <w:r w:rsidRPr="00473E7D">
              <w:rPr>
                <w:sz w:val="22"/>
                <w:szCs w:val="22"/>
                <w:lang w:val="en-US"/>
              </w:rPr>
              <w:t xml:space="preserve"> se </w:t>
            </w:r>
            <w:proofErr w:type="spellStart"/>
            <w:r w:rsidRPr="00473E7D">
              <w:rPr>
                <w:sz w:val="22"/>
                <w:szCs w:val="22"/>
                <w:lang w:val="en-US"/>
              </w:rPr>
              <w:t>va</w:t>
            </w:r>
            <w:proofErr w:type="spellEnd"/>
            <w:r w:rsidRPr="00473E7D">
              <w:rPr>
                <w:sz w:val="22"/>
                <w:szCs w:val="22"/>
                <w:lang w:val="en-US"/>
              </w:rPr>
              <w:t xml:space="preserve"> </w:t>
            </w:r>
            <w:proofErr w:type="spellStart"/>
            <w:r w:rsidRPr="00473E7D">
              <w:rPr>
                <w:sz w:val="22"/>
                <w:szCs w:val="22"/>
                <w:lang w:val="en-US"/>
              </w:rPr>
              <w:t>întocmi</w:t>
            </w:r>
            <w:proofErr w:type="spellEnd"/>
            <w:r w:rsidRPr="00473E7D">
              <w:rPr>
                <w:sz w:val="22"/>
                <w:szCs w:val="22"/>
                <w:lang w:val="en-US"/>
              </w:rPr>
              <w:t xml:space="preserve"> conform </w:t>
            </w:r>
            <w:proofErr w:type="spellStart"/>
            <w:r w:rsidRPr="00473E7D">
              <w:rPr>
                <w:sz w:val="22"/>
                <w:szCs w:val="22"/>
                <w:lang w:val="en-US"/>
              </w:rPr>
              <w:t>anexei</w:t>
            </w:r>
            <w:proofErr w:type="spellEnd"/>
            <w:r w:rsidRPr="00473E7D">
              <w:rPr>
                <w:sz w:val="22"/>
                <w:szCs w:val="22"/>
                <w:lang w:val="en-US"/>
              </w:rPr>
              <w:t xml:space="preserve"> </w:t>
            </w:r>
            <w:proofErr w:type="spellStart"/>
            <w:r w:rsidRPr="00473E7D">
              <w:rPr>
                <w:sz w:val="22"/>
                <w:szCs w:val="22"/>
                <w:lang w:val="en-US"/>
              </w:rPr>
              <w:t>nr</w:t>
            </w:r>
            <w:proofErr w:type="spellEnd"/>
            <w:r w:rsidRPr="00473E7D">
              <w:rPr>
                <w:sz w:val="22"/>
                <w:szCs w:val="22"/>
                <w:lang w:val="en-US"/>
              </w:rPr>
              <w:t>.</w:t>
            </w:r>
            <w:r w:rsidRPr="00473E7D">
              <w:rPr>
                <w:sz w:val="22"/>
                <w:szCs w:val="22"/>
                <w:lang w:val="ro-MD"/>
              </w:rPr>
              <w:t xml:space="preserve"> </w:t>
            </w:r>
            <w:r w:rsidRPr="00473E7D">
              <w:rPr>
                <w:sz w:val="22"/>
                <w:szCs w:val="22"/>
                <w:lang w:val="en-US"/>
              </w:rPr>
              <w:t xml:space="preserve">1 la </w:t>
            </w:r>
            <w:proofErr w:type="spellStart"/>
            <w:r w:rsidRPr="00473E7D">
              <w:rPr>
                <w:i/>
                <w:sz w:val="22"/>
                <w:szCs w:val="22"/>
                <w:lang w:val="en-US"/>
              </w:rPr>
              <w:t>Legea</w:t>
            </w:r>
            <w:proofErr w:type="spellEnd"/>
            <w:r w:rsidRPr="00473E7D">
              <w:rPr>
                <w:i/>
                <w:sz w:val="22"/>
                <w:szCs w:val="22"/>
                <w:lang w:val="en-US"/>
              </w:rPr>
              <w:t xml:space="preserve"> </w:t>
            </w:r>
            <w:proofErr w:type="spellStart"/>
            <w:r w:rsidRPr="00473E7D">
              <w:rPr>
                <w:i/>
                <w:sz w:val="22"/>
                <w:szCs w:val="22"/>
                <w:lang w:val="en-US"/>
              </w:rPr>
              <w:t>nr</w:t>
            </w:r>
            <w:proofErr w:type="spellEnd"/>
            <w:r w:rsidRPr="00473E7D">
              <w:rPr>
                <w:i/>
                <w:sz w:val="22"/>
                <w:szCs w:val="22"/>
                <w:lang w:val="en-US"/>
              </w:rPr>
              <w:t>. 100/2017</w:t>
            </w:r>
            <w:r w:rsidRPr="00473E7D">
              <w:rPr>
                <w:sz w:val="22"/>
                <w:szCs w:val="22"/>
                <w:lang w:val="en-US"/>
              </w:rPr>
              <w:t xml:space="preserve">, care </w:t>
            </w:r>
            <w:proofErr w:type="spellStart"/>
            <w:r w:rsidRPr="00473E7D">
              <w:rPr>
                <w:sz w:val="22"/>
                <w:szCs w:val="22"/>
                <w:lang w:val="en-US"/>
              </w:rPr>
              <w:t>va</w:t>
            </w:r>
            <w:proofErr w:type="spellEnd"/>
            <w:r w:rsidRPr="00473E7D">
              <w:rPr>
                <w:sz w:val="22"/>
                <w:szCs w:val="22"/>
                <w:lang w:val="en-US"/>
              </w:rPr>
              <w:t xml:space="preserve"> </w:t>
            </w:r>
            <w:proofErr w:type="spellStart"/>
            <w:r w:rsidRPr="00473E7D">
              <w:rPr>
                <w:sz w:val="22"/>
                <w:szCs w:val="22"/>
                <w:lang w:val="en-US"/>
              </w:rPr>
              <w:t>cuprinde</w:t>
            </w:r>
            <w:proofErr w:type="spellEnd"/>
            <w:r w:rsidRPr="00473E7D">
              <w:rPr>
                <w:sz w:val="22"/>
                <w:szCs w:val="22"/>
                <w:lang w:val="en-US"/>
              </w:rPr>
              <w:t xml:space="preserve"> </w:t>
            </w:r>
            <w:proofErr w:type="spellStart"/>
            <w:r w:rsidRPr="00473E7D">
              <w:rPr>
                <w:sz w:val="22"/>
                <w:szCs w:val="22"/>
                <w:lang w:val="en-US"/>
              </w:rPr>
              <w:t>toate</w:t>
            </w:r>
            <w:proofErr w:type="spellEnd"/>
            <w:r w:rsidRPr="00473E7D">
              <w:rPr>
                <w:sz w:val="22"/>
                <w:szCs w:val="22"/>
                <w:lang w:val="en-US"/>
              </w:rPr>
              <w:t xml:space="preserve"> </w:t>
            </w:r>
            <w:proofErr w:type="spellStart"/>
            <w:r w:rsidRPr="00473E7D">
              <w:rPr>
                <w:sz w:val="22"/>
                <w:szCs w:val="22"/>
                <w:lang w:val="en-US"/>
              </w:rPr>
              <w:t>compartimentele</w:t>
            </w:r>
            <w:proofErr w:type="spellEnd"/>
            <w:r w:rsidRPr="00473E7D">
              <w:rPr>
                <w:sz w:val="22"/>
                <w:szCs w:val="22"/>
                <w:lang w:val="en-US"/>
              </w:rPr>
              <w:t xml:space="preserve"> indicate </w:t>
            </w:r>
            <w:proofErr w:type="spellStart"/>
            <w:r w:rsidRPr="00473E7D">
              <w:rPr>
                <w:sz w:val="22"/>
                <w:szCs w:val="22"/>
                <w:lang w:val="en-US"/>
              </w:rPr>
              <w:t>în</w:t>
            </w:r>
            <w:proofErr w:type="spellEnd"/>
            <w:r w:rsidRPr="00473E7D">
              <w:rPr>
                <w:sz w:val="22"/>
                <w:szCs w:val="22"/>
                <w:lang w:val="en-US"/>
              </w:rPr>
              <w:t xml:space="preserve"> </w:t>
            </w:r>
            <w:proofErr w:type="spellStart"/>
            <w:r w:rsidRPr="00473E7D">
              <w:rPr>
                <w:sz w:val="22"/>
                <w:szCs w:val="22"/>
                <w:lang w:val="en-US"/>
              </w:rPr>
              <w:t>această</w:t>
            </w:r>
            <w:proofErr w:type="spellEnd"/>
            <w:r w:rsidRPr="00473E7D">
              <w:rPr>
                <w:sz w:val="22"/>
                <w:szCs w:val="22"/>
                <w:lang w:val="en-US"/>
              </w:rPr>
              <w:t xml:space="preserve"> </w:t>
            </w:r>
            <w:proofErr w:type="spellStart"/>
            <w:r w:rsidRPr="00473E7D">
              <w:rPr>
                <w:sz w:val="22"/>
                <w:szCs w:val="22"/>
                <w:lang w:val="en-US"/>
              </w:rPr>
              <w:t>anexă</w:t>
            </w:r>
            <w:proofErr w:type="spellEnd"/>
            <w:r w:rsidRPr="00473E7D">
              <w:rPr>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1042" w:type="pct"/>
            <w:shd w:val="clear" w:color="auto" w:fill="auto"/>
          </w:tcPr>
          <w:p w14:paraId="602CA0F5" w14:textId="77777777" w:rsidR="00473E7D" w:rsidRDefault="00473E7D" w:rsidP="004A5248">
            <w:pPr>
              <w:pStyle w:val="BodyText"/>
              <w:widowControl w:val="0"/>
              <w:tabs>
                <w:tab w:val="left" w:pos="426"/>
              </w:tabs>
              <w:autoSpaceDE w:val="0"/>
              <w:autoSpaceDN w:val="0"/>
              <w:spacing w:after="0" w:line="240" w:lineRule="auto"/>
              <w:jc w:val="both"/>
              <w:rPr>
                <w:sz w:val="22"/>
                <w:szCs w:val="22"/>
              </w:rPr>
            </w:pPr>
            <w:r>
              <w:rPr>
                <w:sz w:val="22"/>
                <w:szCs w:val="22"/>
              </w:rPr>
              <w:lastRenderedPageBreak/>
              <w:t xml:space="preserve">Se acceptă. </w:t>
            </w:r>
          </w:p>
          <w:p w14:paraId="0F8EC20B" w14:textId="77777777" w:rsidR="00473E7D" w:rsidRDefault="00473E7D" w:rsidP="004A5248">
            <w:pPr>
              <w:pStyle w:val="BodyText"/>
              <w:widowControl w:val="0"/>
              <w:tabs>
                <w:tab w:val="left" w:pos="426"/>
              </w:tabs>
              <w:autoSpaceDE w:val="0"/>
              <w:autoSpaceDN w:val="0"/>
              <w:spacing w:after="0" w:line="240" w:lineRule="auto"/>
              <w:jc w:val="both"/>
              <w:rPr>
                <w:sz w:val="22"/>
                <w:szCs w:val="22"/>
              </w:rPr>
            </w:pPr>
          </w:p>
          <w:p w14:paraId="09A6E261" w14:textId="77777777" w:rsidR="00473E7D" w:rsidRDefault="00473E7D" w:rsidP="004A5248">
            <w:pPr>
              <w:pStyle w:val="BodyText"/>
              <w:widowControl w:val="0"/>
              <w:tabs>
                <w:tab w:val="left" w:pos="426"/>
              </w:tabs>
              <w:autoSpaceDE w:val="0"/>
              <w:autoSpaceDN w:val="0"/>
              <w:spacing w:after="0" w:line="240" w:lineRule="auto"/>
              <w:jc w:val="both"/>
              <w:rPr>
                <w:sz w:val="22"/>
                <w:szCs w:val="22"/>
              </w:rPr>
            </w:pPr>
          </w:p>
          <w:p w14:paraId="063681B6" w14:textId="77777777" w:rsidR="00473E7D" w:rsidRDefault="00473E7D" w:rsidP="004A5248">
            <w:pPr>
              <w:pStyle w:val="BodyText"/>
              <w:widowControl w:val="0"/>
              <w:tabs>
                <w:tab w:val="left" w:pos="426"/>
              </w:tabs>
              <w:autoSpaceDE w:val="0"/>
              <w:autoSpaceDN w:val="0"/>
              <w:spacing w:after="0" w:line="240" w:lineRule="auto"/>
              <w:jc w:val="both"/>
              <w:rPr>
                <w:sz w:val="22"/>
                <w:szCs w:val="22"/>
              </w:rPr>
            </w:pPr>
          </w:p>
          <w:p w14:paraId="732A57BC" w14:textId="666A5001" w:rsidR="00473E7D" w:rsidRPr="00473E7D" w:rsidRDefault="00473E7D" w:rsidP="004A5248">
            <w:pPr>
              <w:pStyle w:val="BodyText"/>
              <w:widowControl w:val="0"/>
              <w:tabs>
                <w:tab w:val="left" w:pos="426"/>
              </w:tabs>
              <w:autoSpaceDE w:val="0"/>
              <w:autoSpaceDN w:val="0"/>
              <w:spacing w:after="0" w:line="240" w:lineRule="auto"/>
              <w:jc w:val="both"/>
              <w:rPr>
                <w:sz w:val="22"/>
                <w:szCs w:val="22"/>
              </w:rPr>
            </w:pPr>
          </w:p>
        </w:tc>
      </w:tr>
      <w:tr w:rsidR="00923FE5" w:rsidRPr="00B3091C" w14:paraId="3E62A474" w14:textId="77777777" w:rsidTr="00923FE5">
        <w:trPr>
          <w:cnfStyle w:val="010000000000" w:firstRow="0" w:lastRow="1" w:firstColumn="0" w:lastColumn="0" w:oddVBand="0" w:evenVBand="0" w:oddHBand="0" w:evenHBand="0" w:firstRowFirstColumn="0" w:firstRowLastColumn="0" w:lastRowFirstColumn="0" w:lastRowLastColumn="0"/>
          <w:trHeight w:val="1074"/>
        </w:trPr>
        <w:tc>
          <w:tcPr>
            <w:tcW w:w="327" w:type="pct"/>
            <w:shd w:val="clear" w:color="auto" w:fill="auto"/>
            <w:vAlign w:val="center"/>
          </w:tcPr>
          <w:p w14:paraId="0A859917" w14:textId="77777777" w:rsidR="00923FE5" w:rsidRPr="00473E7D" w:rsidRDefault="00923FE5" w:rsidP="002D2C68">
            <w:pPr>
              <w:jc w:val="center"/>
              <w:rPr>
                <w:sz w:val="22"/>
                <w:szCs w:val="22"/>
                <w:lang w:val="ro-RO"/>
              </w:rPr>
            </w:pPr>
          </w:p>
        </w:tc>
        <w:tc>
          <w:tcPr>
            <w:tcW w:w="602" w:type="pct"/>
            <w:vAlign w:val="center"/>
          </w:tcPr>
          <w:p w14:paraId="424EAD0B" w14:textId="52142820" w:rsidR="00923FE5" w:rsidRDefault="00923FE5" w:rsidP="00473E7D">
            <w:pPr>
              <w:rPr>
                <w:sz w:val="22"/>
                <w:szCs w:val="22"/>
                <w:lang w:val="en-GB"/>
              </w:rPr>
            </w:pPr>
            <w:proofErr w:type="spellStart"/>
            <w:r>
              <w:rPr>
                <w:sz w:val="22"/>
                <w:szCs w:val="22"/>
                <w:lang w:val="en-GB"/>
              </w:rPr>
              <w:t>Raport</w:t>
            </w:r>
            <w:proofErr w:type="spellEnd"/>
            <w:r>
              <w:rPr>
                <w:sz w:val="22"/>
                <w:szCs w:val="22"/>
                <w:lang w:val="en-GB"/>
              </w:rPr>
              <w:t xml:space="preserve"> </w:t>
            </w:r>
            <w:proofErr w:type="spellStart"/>
            <w:r>
              <w:rPr>
                <w:sz w:val="22"/>
                <w:szCs w:val="22"/>
                <w:lang w:val="en-GB"/>
              </w:rPr>
              <w:t>anticorupție</w:t>
            </w:r>
            <w:proofErr w:type="spellEnd"/>
            <w:r>
              <w:rPr>
                <w:sz w:val="22"/>
                <w:szCs w:val="22"/>
                <w:lang w:val="en-GB"/>
              </w:rPr>
              <w:t xml:space="preserve"> </w:t>
            </w:r>
          </w:p>
        </w:tc>
        <w:tc>
          <w:tcPr>
            <w:cnfStyle w:val="000100000000" w:firstRow="0" w:lastRow="0" w:firstColumn="0" w:lastColumn="1" w:oddVBand="0" w:evenVBand="0" w:oddHBand="0" w:evenHBand="0" w:firstRowFirstColumn="0" w:firstRowLastColumn="0" w:lastRowFirstColumn="0" w:lastRowLastColumn="0"/>
            <w:tcW w:w="4070" w:type="pct"/>
            <w:gridSpan w:val="3"/>
          </w:tcPr>
          <w:p w14:paraId="50E3633B" w14:textId="05525AC2" w:rsidR="00923FE5" w:rsidRPr="00923FE5" w:rsidRDefault="00923FE5" w:rsidP="00923FE5">
            <w:pPr>
              <w:pStyle w:val="NormalWeb"/>
              <w:ind w:firstLine="0"/>
              <w:rPr>
                <w:b w:val="0"/>
                <w:lang w:val="ro-RO"/>
              </w:rPr>
            </w:pPr>
            <w:r w:rsidRPr="00923FE5">
              <w:rPr>
                <w:b w:val="0"/>
                <w:lang w:val="ro-RO"/>
              </w:rPr>
              <w:t xml:space="preserve">În redacția finală examinată prin prisma prevederilor Metodologiei </w:t>
            </w:r>
            <w:r w:rsidRPr="00923FE5">
              <w:rPr>
                <w:rFonts w:asciiTheme="majorBidi" w:hAnsiTheme="majorBidi" w:cstheme="majorBidi"/>
                <w:b w:val="0"/>
                <w:lang w:val="ro-RO"/>
              </w:rPr>
              <w:t>de efectuare a expertizei anticorupție a proiectelor de acte legislative și normative, aprobată prin Hotărârea Colegiului Centrului nr.6 din 20 octombrie 2017</w:t>
            </w:r>
            <w:r w:rsidRPr="00923FE5">
              <w:rPr>
                <w:b w:val="0"/>
                <w:lang w:val="ro-RO"/>
              </w:rPr>
              <w:t>, proiectul Hotărârii ANRE și Metodologiei de calculare a plăților pentru neutralitate nu conține factori și riscuri de corupție.</w:t>
            </w:r>
          </w:p>
        </w:tc>
      </w:tr>
    </w:tbl>
    <w:p w14:paraId="31A5FDC2" w14:textId="0B304DB7" w:rsidR="00D616AF" w:rsidRPr="00473E7D" w:rsidRDefault="00D616AF" w:rsidP="00DC03C0">
      <w:pPr>
        <w:rPr>
          <w:sz w:val="20"/>
          <w:szCs w:val="20"/>
          <w:lang w:val="ro-RO"/>
        </w:rPr>
      </w:pPr>
    </w:p>
    <w:sectPr w:rsidR="00D616AF" w:rsidRPr="00473E7D" w:rsidSect="00B61AFC">
      <w:footerReference w:type="default" r:id="rId9"/>
      <w:pgSz w:w="16838" w:h="11906" w:orient="landscape"/>
      <w:pgMar w:top="567" w:right="678"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B625B" w14:textId="77777777" w:rsidR="006E1EBD" w:rsidRDefault="006E1EBD" w:rsidP="0028443E">
      <w:r>
        <w:separator/>
      </w:r>
    </w:p>
  </w:endnote>
  <w:endnote w:type="continuationSeparator" w:id="0">
    <w:p w14:paraId="05834E5C" w14:textId="77777777" w:rsidR="006E1EBD" w:rsidRDefault="006E1EBD" w:rsidP="0028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charset w:val="B1"/>
    <w:family w:val="swiss"/>
    <w:pitch w:val="variable"/>
    <w:sig w:usb0="00000000" w:usb1="00000000" w:usb2="0000000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196428"/>
      <w:docPartObj>
        <w:docPartGallery w:val="Page Numbers (Bottom of Page)"/>
        <w:docPartUnique/>
      </w:docPartObj>
    </w:sdtPr>
    <w:sdtEndPr>
      <w:rPr>
        <w:i/>
        <w:noProof/>
        <w:sz w:val="22"/>
        <w:szCs w:val="22"/>
      </w:rPr>
    </w:sdtEndPr>
    <w:sdtContent>
      <w:p w14:paraId="5CD07B81" w14:textId="663BB569" w:rsidR="00A307F5" w:rsidRPr="0028443E" w:rsidRDefault="00A307F5">
        <w:pPr>
          <w:pStyle w:val="Footer"/>
          <w:jc w:val="right"/>
          <w:rPr>
            <w:i/>
            <w:sz w:val="22"/>
            <w:szCs w:val="22"/>
          </w:rPr>
        </w:pPr>
        <w:r w:rsidRPr="0028443E">
          <w:rPr>
            <w:i/>
            <w:sz w:val="22"/>
            <w:szCs w:val="22"/>
          </w:rPr>
          <w:fldChar w:fldCharType="begin"/>
        </w:r>
        <w:r w:rsidRPr="0028443E">
          <w:rPr>
            <w:i/>
            <w:sz w:val="22"/>
            <w:szCs w:val="22"/>
          </w:rPr>
          <w:instrText xml:space="preserve"> PAGE   \* MERGEFORMAT </w:instrText>
        </w:r>
        <w:r w:rsidRPr="0028443E">
          <w:rPr>
            <w:i/>
            <w:sz w:val="22"/>
            <w:szCs w:val="22"/>
          </w:rPr>
          <w:fldChar w:fldCharType="separate"/>
        </w:r>
        <w:r w:rsidR="00B3091C">
          <w:rPr>
            <w:i/>
            <w:noProof/>
            <w:sz w:val="22"/>
            <w:szCs w:val="22"/>
          </w:rPr>
          <w:t>2</w:t>
        </w:r>
        <w:r w:rsidRPr="0028443E">
          <w:rPr>
            <w:i/>
            <w:noProof/>
            <w:sz w:val="22"/>
            <w:szCs w:val="22"/>
          </w:rPr>
          <w:fldChar w:fldCharType="end"/>
        </w:r>
      </w:p>
    </w:sdtContent>
  </w:sdt>
  <w:p w14:paraId="451EE0A0" w14:textId="77777777" w:rsidR="00A307F5" w:rsidRDefault="00A307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E804F" w14:textId="77777777" w:rsidR="006E1EBD" w:rsidRDefault="006E1EBD" w:rsidP="0028443E">
      <w:r>
        <w:separator/>
      </w:r>
    </w:p>
  </w:footnote>
  <w:footnote w:type="continuationSeparator" w:id="0">
    <w:p w14:paraId="0ECB05B4" w14:textId="77777777" w:rsidR="006E1EBD" w:rsidRDefault="006E1EBD" w:rsidP="002844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584152C"/>
    <w:lvl w:ilvl="0">
      <w:start w:val="1"/>
      <w:numFmt w:val="decimal"/>
      <w:pStyle w:val="ListNumber"/>
      <w:lvlText w:val="%1"/>
      <w:lvlJc w:val="left"/>
      <w:pPr>
        <w:ind w:left="360" w:hanging="360"/>
      </w:pPr>
      <w:rPr>
        <w:rFonts w:hint="default"/>
      </w:rPr>
    </w:lvl>
  </w:abstractNum>
  <w:abstractNum w:abstractNumId="1" w15:restartNumberingAfterBreak="0">
    <w:nsid w:val="003F2B5B"/>
    <w:multiLevelType w:val="hybridMultilevel"/>
    <w:tmpl w:val="083C2984"/>
    <w:lvl w:ilvl="0" w:tplc="04090017">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B04D2"/>
    <w:multiLevelType w:val="hybridMultilevel"/>
    <w:tmpl w:val="CC3E19B2"/>
    <w:lvl w:ilvl="0" w:tplc="0809000F">
      <w:start w:val="1"/>
      <w:numFmt w:val="decimal"/>
      <w:lvlText w:val="%1."/>
      <w:lvlJc w:val="left"/>
      <w:pPr>
        <w:ind w:left="720" w:hanging="360"/>
      </w:pPr>
    </w:lvl>
    <w:lvl w:ilvl="1" w:tplc="03BA4098">
      <w:start w:val="1"/>
      <w:numFmt w:val="decimal"/>
      <w:lvlText w:val="%2)"/>
      <w:lvlJc w:val="left"/>
      <w:pPr>
        <w:ind w:left="1440" w:hanging="360"/>
      </w:pPr>
      <w:rPr>
        <w:rFonts w:ascii="Times New Roman" w:eastAsia="Calibri" w:hAnsi="Times New Roman" w:cs="Times New Roman"/>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3D06D17"/>
    <w:multiLevelType w:val="hybridMultilevel"/>
    <w:tmpl w:val="24DEE320"/>
    <w:lvl w:ilvl="0" w:tplc="F2EC034A">
      <w:start w:val="1"/>
      <w:numFmt w:val="decimal"/>
      <w:lvlText w:val="%1)"/>
      <w:lvlJc w:val="left"/>
      <w:pPr>
        <w:ind w:left="1211" w:hanging="360"/>
      </w:pPr>
      <w:rPr>
        <w:rFonts w:hint="default"/>
        <w:lang w:val="ro-R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6730F9E"/>
    <w:multiLevelType w:val="hybridMultilevel"/>
    <w:tmpl w:val="A84299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4190017">
      <w:start w:val="1"/>
      <w:numFmt w:val="lowerLetter"/>
      <w:lvlText w:val="%3)"/>
      <w:lvlJc w:val="lef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7B13D97"/>
    <w:multiLevelType w:val="hybridMultilevel"/>
    <w:tmpl w:val="265ABCC6"/>
    <w:lvl w:ilvl="0" w:tplc="C35E9130">
      <w:start w:val="1"/>
      <w:numFmt w:val="decimal"/>
      <w:lvlText w:val="%1."/>
      <w:lvlJc w:val="left"/>
      <w:pPr>
        <w:ind w:left="720" w:hanging="360"/>
      </w:pPr>
      <w:rPr>
        <w:rFonts w:ascii="Times New Roman" w:hAnsi="Times New Roman" w:cs="Times New Roman" w:hint="default"/>
        <w:b w:val="0"/>
        <w:i w:val="0"/>
        <w:color w:val="auto"/>
      </w:rPr>
    </w:lvl>
    <w:lvl w:ilvl="1" w:tplc="59C8D5C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1D6B55"/>
    <w:multiLevelType w:val="hybridMultilevel"/>
    <w:tmpl w:val="E06ADD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8597B90"/>
    <w:multiLevelType w:val="hybridMultilevel"/>
    <w:tmpl w:val="FA8A4A76"/>
    <w:lvl w:ilvl="0" w:tplc="1320F94C">
      <w:start w:val="1"/>
      <w:numFmt w:val="decimal"/>
      <w:lvlText w:val="%1)"/>
      <w:lvlJc w:val="left"/>
      <w:pPr>
        <w:ind w:left="1571" w:hanging="360"/>
      </w:pPr>
      <w:rPr>
        <w:rFonts w:ascii="Times New Roman" w:eastAsia="Times New Roman" w:hAnsi="Times New Roman" w:cs="Times New Roman"/>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0A981769"/>
    <w:multiLevelType w:val="hybridMultilevel"/>
    <w:tmpl w:val="961409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BA5B50"/>
    <w:multiLevelType w:val="hybridMultilevel"/>
    <w:tmpl w:val="265ABCC6"/>
    <w:lvl w:ilvl="0" w:tplc="C35E9130">
      <w:start w:val="1"/>
      <w:numFmt w:val="decimal"/>
      <w:lvlText w:val="%1."/>
      <w:lvlJc w:val="left"/>
      <w:pPr>
        <w:ind w:left="720" w:hanging="360"/>
      </w:pPr>
      <w:rPr>
        <w:rFonts w:ascii="Times New Roman" w:hAnsi="Times New Roman" w:cs="Times New Roman" w:hint="default"/>
        <w:b w:val="0"/>
        <w:i w:val="0"/>
        <w:color w:val="auto"/>
      </w:rPr>
    </w:lvl>
    <w:lvl w:ilvl="1" w:tplc="59C8D5C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553333"/>
    <w:multiLevelType w:val="hybridMultilevel"/>
    <w:tmpl w:val="2E643D4C"/>
    <w:lvl w:ilvl="0" w:tplc="0632FD1E">
      <w:start w:val="1"/>
      <w:numFmt w:val="decimal"/>
      <w:lvlText w:val="%1."/>
      <w:lvlJc w:val="left"/>
      <w:pPr>
        <w:ind w:left="644" w:hanging="360"/>
      </w:pPr>
      <w:rPr>
        <w:b w:val="0"/>
        <w:bCs/>
        <w:i w:val="0"/>
        <w:iCs w:val="0"/>
        <w:color w:val="auto"/>
        <w:sz w:val="24"/>
        <w:szCs w:val="24"/>
        <w:lang w:val="ro-RO"/>
      </w:rPr>
    </w:lvl>
    <w:lvl w:ilvl="1" w:tplc="902C595C">
      <w:start w:val="1"/>
      <w:numFmt w:val="lowerRoman"/>
      <w:lvlText w:val="%2)"/>
      <w:lvlJc w:val="left"/>
      <w:pPr>
        <w:ind w:left="2084" w:hanging="720"/>
      </w:pPr>
      <w:rPr>
        <w:rFonts w:hint="default"/>
      </w:rPr>
    </w:lvl>
    <w:lvl w:ilvl="2" w:tplc="7BBA2892">
      <w:start w:val="1"/>
      <w:numFmt w:val="lowerLetter"/>
      <w:lvlText w:val="%3)"/>
      <w:lvlJc w:val="left"/>
      <w:pPr>
        <w:ind w:left="2384" w:hanging="12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0D8D1D80"/>
    <w:multiLevelType w:val="hybridMultilevel"/>
    <w:tmpl w:val="5BEE5464"/>
    <w:lvl w:ilvl="0" w:tplc="E0187D6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0FA25FEF"/>
    <w:multiLevelType w:val="hybridMultilevel"/>
    <w:tmpl w:val="5CFEE55C"/>
    <w:lvl w:ilvl="0" w:tplc="C52EF5EE">
      <w:start w:val="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43579EB"/>
    <w:multiLevelType w:val="multilevel"/>
    <w:tmpl w:val="BEC8AE64"/>
    <w:lvl w:ilvl="0">
      <w:start w:val="1"/>
      <w:numFmt w:val="bullet"/>
      <w:pStyle w:val="01squarebullet"/>
      <w:lvlText w:val="■"/>
      <w:lvlJc w:val="left"/>
      <w:pPr>
        <w:tabs>
          <w:tab w:val="num" w:pos="357"/>
        </w:tabs>
        <w:ind w:left="360" w:hanging="360"/>
      </w:pPr>
      <w:rPr>
        <w:rFonts w:ascii="Times New Roman" w:hAnsi="Times New Roman" w:hint="default"/>
        <w:color w:val="002960"/>
        <w:sz w:val="24"/>
      </w:rPr>
    </w:lvl>
    <w:lvl w:ilvl="1">
      <w:start w:val="1"/>
      <w:numFmt w:val="bullet"/>
      <w:pStyle w:val="02dash"/>
      <w:lvlText w:val="–"/>
      <w:lvlJc w:val="left"/>
      <w:pPr>
        <w:tabs>
          <w:tab w:val="num" w:pos="646"/>
        </w:tabs>
        <w:ind w:left="644" w:hanging="284"/>
      </w:pPr>
      <w:rPr>
        <w:rFonts w:ascii="Arial" w:hAnsi="Arial" w:hint="default"/>
        <w:color w:val="002960"/>
        <w:sz w:val="24"/>
      </w:rPr>
    </w:lvl>
    <w:lvl w:ilvl="2">
      <w:start w:val="1"/>
      <w:numFmt w:val="bullet"/>
      <w:pStyle w:val="03opensquarebullet"/>
      <w:lvlText w:val="□"/>
      <w:lvlJc w:val="left"/>
      <w:pPr>
        <w:tabs>
          <w:tab w:val="num" w:pos="924"/>
        </w:tabs>
        <w:ind w:left="927" w:hanging="283"/>
      </w:pPr>
      <w:rPr>
        <w:rFonts w:ascii="Times New Roman" w:hAnsi="Times New Roman" w:hint="default"/>
        <w:color w:val="002960"/>
        <w:sz w:val="20"/>
      </w:rPr>
    </w:lvl>
    <w:lvl w:ilvl="3">
      <w:start w:val="1"/>
      <w:numFmt w:val="bullet"/>
      <w:pStyle w:val="04shortdash"/>
      <w:lvlText w:val="-"/>
      <w:lvlJc w:val="left"/>
      <w:pPr>
        <w:tabs>
          <w:tab w:val="num" w:pos="1213"/>
        </w:tabs>
        <w:ind w:left="1211" w:hanging="284"/>
      </w:pPr>
      <w:rPr>
        <w:rFonts w:ascii="Times New Roman" w:hAnsi="Times New Roman" w:hint="default"/>
        <w:color w:val="002960"/>
        <w:sz w:val="24"/>
      </w:rPr>
    </w:lvl>
    <w:lvl w:ilvl="4">
      <w:start w:val="1"/>
      <w:numFmt w:val="lowerLetter"/>
      <w:lvlText w:val="(%5)"/>
      <w:lvlJc w:val="left"/>
      <w:pPr>
        <w:tabs>
          <w:tab w:val="num" w:pos="1877"/>
        </w:tabs>
        <w:ind w:left="1877" w:hanging="360"/>
      </w:pPr>
      <w:rPr>
        <w:rFonts w:cs="Times New Roman" w:hint="default"/>
      </w:rPr>
    </w:lvl>
    <w:lvl w:ilvl="5">
      <w:start w:val="1"/>
      <w:numFmt w:val="lowerRoman"/>
      <w:lvlText w:val="(%6)"/>
      <w:lvlJc w:val="left"/>
      <w:pPr>
        <w:tabs>
          <w:tab w:val="num" w:pos="2237"/>
        </w:tabs>
        <w:ind w:left="2237" w:hanging="360"/>
      </w:pPr>
      <w:rPr>
        <w:rFonts w:cs="Times New Roman" w:hint="default"/>
      </w:rPr>
    </w:lvl>
    <w:lvl w:ilvl="6">
      <w:start w:val="1"/>
      <w:numFmt w:val="decimal"/>
      <w:lvlText w:val="%7."/>
      <w:lvlJc w:val="left"/>
      <w:pPr>
        <w:tabs>
          <w:tab w:val="num" w:pos="2597"/>
        </w:tabs>
        <w:ind w:left="2597" w:hanging="360"/>
      </w:pPr>
      <w:rPr>
        <w:rFonts w:cs="Times New Roman" w:hint="default"/>
      </w:rPr>
    </w:lvl>
    <w:lvl w:ilvl="7">
      <w:start w:val="1"/>
      <w:numFmt w:val="lowerLetter"/>
      <w:lvlText w:val="%8."/>
      <w:lvlJc w:val="left"/>
      <w:pPr>
        <w:tabs>
          <w:tab w:val="num" w:pos="2957"/>
        </w:tabs>
        <w:ind w:left="2957" w:hanging="360"/>
      </w:pPr>
      <w:rPr>
        <w:rFonts w:cs="Times New Roman" w:hint="default"/>
      </w:rPr>
    </w:lvl>
    <w:lvl w:ilvl="8">
      <w:start w:val="1"/>
      <w:numFmt w:val="lowerRoman"/>
      <w:lvlText w:val="%9."/>
      <w:lvlJc w:val="left"/>
      <w:pPr>
        <w:tabs>
          <w:tab w:val="num" w:pos="3317"/>
        </w:tabs>
        <w:ind w:left="3317" w:hanging="360"/>
      </w:pPr>
      <w:rPr>
        <w:rFonts w:cs="Times New Roman" w:hint="default"/>
      </w:rPr>
    </w:lvl>
  </w:abstractNum>
  <w:abstractNum w:abstractNumId="14" w15:restartNumberingAfterBreak="0">
    <w:nsid w:val="14E009B7"/>
    <w:multiLevelType w:val="hybridMultilevel"/>
    <w:tmpl w:val="80407EC2"/>
    <w:lvl w:ilvl="0" w:tplc="5EF2EB9E">
      <w:start w:val="1"/>
      <w:numFmt w:val="decimal"/>
      <w:lvlText w:val="%1)"/>
      <w:lvlJc w:val="left"/>
      <w:pPr>
        <w:ind w:left="928" w:hanging="360"/>
      </w:pPr>
      <w:rPr>
        <w:rFonts w:hint="default"/>
        <w:b/>
        <w:i w:val="0"/>
        <w:sz w:val="24"/>
        <w:szCs w:val="24"/>
        <w:vertAlign w:val="baseli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7BF2DDB"/>
    <w:multiLevelType w:val="hybridMultilevel"/>
    <w:tmpl w:val="0652D1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A7A7E02"/>
    <w:multiLevelType w:val="hybridMultilevel"/>
    <w:tmpl w:val="8B025A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70E8F862">
      <w:start w:val="1"/>
      <w:numFmt w:val="decimal"/>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B5C4661"/>
    <w:multiLevelType w:val="hybridMultilevel"/>
    <w:tmpl w:val="F18635A6"/>
    <w:lvl w:ilvl="0" w:tplc="71BCBE9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1C5D4DE9"/>
    <w:multiLevelType w:val="hybridMultilevel"/>
    <w:tmpl w:val="363C0C2C"/>
    <w:lvl w:ilvl="0" w:tplc="A23A34DC">
      <w:start w:val="15"/>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AD3DE8"/>
    <w:multiLevelType w:val="hybridMultilevel"/>
    <w:tmpl w:val="2C16D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B964B9"/>
    <w:multiLevelType w:val="hybridMultilevel"/>
    <w:tmpl w:val="80407EC2"/>
    <w:lvl w:ilvl="0" w:tplc="5EF2EB9E">
      <w:start w:val="1"/>
      <w:numFmt w:val="decimal"/>
      <w:lvlText w:val="%1)"/>
      <w:lvlJc w:val="left"/>
      <w:pPr>
        <w:ind w:left="928" w:hanging="360"/>
      </w:pPr>
      <w:rPr>
        <w:rFonts w:hint="default"/>
        <w:b/>
        <w:i w:val="0"/>
        <w:sz w:val="24"/>
        <w:szCs w:val="24"/>
        <w:vertAlign w:val="baseli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25381891"/>
    <w:multiLevelType w:val="hybridMultilevel"/>
    <w:tmpl w:val="265ABCC6"/>
    <w:lvl w:ilvl="0" w:tplc="C35E9130">
      <w:start w:val="1"/>
      <w:numFmt w:val="decimal"/>
      <w:lvlText w:val="%1."/>
      <w:lvlJc w:val="left"/>
      <w:pPr>
        <w:ind w:left="720" w:hanging="360"/>
      </w:pPr>
      <w:rPr>
        <w:rFonts w:ascii="Times New Roman" w:hAnsi="Times New Roman" w:cs="Times New Roman" w:hint="default"/>
        <w:b w:val="0"/>
        <w:i w:val="0"/>
        <w:color w:val="auto"/>
      </w:rPr>
    </w:lvl>
    <w:lvl w:ilvl="1" w:tplc="59C8D5C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963F21"/>
    <w:multiLevelType w:val="hybridMultilevel"/>
    <w:tmpl w:val="21422F9A"/>
    <w:lvl w:ilvl="0" w:tplc="B1EE7E6C">
      <w:start w:val="1"/>
      <w:numFmt w:val="decimal"/>
      <w:lvlText w:val="%1."/>
      <w:lvlJc w:val="left"/>
      <w:pPr>
        <w:ind w:left="121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2E1B7C4F"/>
    <w:multiLevelType w:val="hybridMultilevel"/>
    <w:tmpl w:val="6B4A7788"/>
    <w:lvl w:ilvl="0" w:tplc="0809000F">
      <w:start w:val="1"/>
      <w:numFmt w:val="decimal"/>
      <w:lvlText w:val="%1."/>
      <w:lvlJc w:val="left"/>
      <w:pPr>
        <w:ind w:left="720" w:hanging="360"/>
      </w:pPr>
    </w:lvl>
    <w:lvl w:ilvl="1" w:tplc="04190011">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4C65D35"/>
    <w:multiLevelType w:val="hybridMultilevel"/>
    <w:tmpl w:val="FA8A4A76"/>
    <w:lvl w:ilvl="0" w:tplc="1320F94C">
      <w:start w:val="1"/>
      <w:numFmt w:val="decimal"/>
      <w:lvlText w:val="%1)"/>
      <w:lvlJc w:val="left"/>
      <w:pPr>
        <w:ind w:left="1571" w:hanging="360"/>
      </w:pPr>
      <w:rPr>
        <w:rFonts w:ascii="Times New Roman" w:eastAsia="Times New Roman" w:hAnsi="Times New Roman" w:cs="Times New Roman"/>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5" w15:restartNumberingAfterBreak="0">
    <w:nsid w:val="36BE4F09"/>
    <w:multiLevelType w:val="hybridMultilevel"/>
    <w:tmpl w:val="265ABCC6"/>
    <w:lvl w:ilvl="0" w:tplc="C35E9130">
      <w:start w:val="1"/>
      <w:numFmt w:val="decimal"/>
      <w:lvlText w:val="%1."/>
      <w:lvlJc w:val="left"/>
      <w:pPr>
        <w:ind w:left="720" w:hanging="360"/>
      </w:pPr>
      <w:rPr>
        <w:rFonts w:ascii="Times New Roman" w:hAnsi="Times New Roman" w:cs="Times New Roman" w:hint="default"/>
        <w:b w:val="0"/>
        <w:i w:val="0"/>
        <w:color w:val="auto"/>
      </w:rPr>
    </w:lvl>
    <w:lvl w:ilvl="1" w:tplc="59C8D5C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8C27FE"/>
    <w:multiLevelType w:val="hybridMultilevel"/>
    <w:tmpl w:val="242E4ACA"/>
    <w:lvl w:ilvl="0" w:tplc="0700DD44">
      <w:start w:val="1"/>
      <w:numFmt w:val="decimal"/>
      <w:pStyle w:val="cris"/>
      <w:lvlText w:val="%1."/>
      <w:lvlJc w:val="left"/>
      <w:pPr>
        <w:ind w:left="0" w:firstLine="568"/>
      </w:pPr>
      <w:rPr>
        <w:rFonts w:ascii="Times New Roman" w:hAnsi="Times New Roman" w:cs="Times New Roman" w:hint="default"/>
        <w:b/>
        <w:bCs/>
        <w:i w:val="0"/>
        <w:strike w:val="0"/>
        <w:sz w:val="24"/>
        <w:szCs w:val="24"/>
      </w:rPr>
    </w:lvl>
    <w:lvl w:ilvl="1" w:tplc="04180019" w:tentative="1">
      <w:start w:val="1"/>
      <w:numFmt w:val="lowerLetter"/>
      <w:lvlText w:val="%2."/>
      <w:lvlJc w:val="left"/>
      <w:pPr>
        <w:ind w:left="1223" w:hanging="360"/>
      </w:pPr>
    </w:lvl>
    <w:lvl w:ilvl="2" w:tplc="0418001B" w:tentative="1">
      <w:start w:val="1"/>
      <w:numFmt w:val="lowerRoman"/>
      <w:lvlText w:val="%3."/>
      <w:lvlJc w:val="right"/>
      <w:pPr>
        <w:ind w:left="1943" w:hanging="180"/>
      </w:pPr>
    </w:lvl>
    <w:lvl w:ilvl="3" w:tplc="0418000F" w:tentative="1">
      <w:start w:val="1"/>
      <w:numFmt w:val="decimal"/>
      <w:lvlText w:val="%4."/>
      <w:lvlJc w:val="left"/>
      <w:pPr>
        <w:ind w:left="2663" w:hanging="360"/>
      </w:pPr>
    </w:lvl>
    <w:lvl w:ilvl="4" w:tplc="04180019" w:tentative="1">
      <w:start w:val="1"/>
      <w:numFmt w:val="lowerLetter"/>
      <w:lvlText w:val="%5."/>
      <w:lvlJc w:val="left"/>
      <w:pPr>
        <w:ind w:left="3383" w:hanging="360"/>
      </w:pPr>
    </w:lvl>
    <w:lvl w:ilvl="5" w:tplc="0418001B" w:tentative="1">
      <w:start w:val="1"/>
      <w:numFmt w:val="lowerRoman"/>
      <w:lvlText w:val="%6."/>
      <w:lvlJc w:val="right"/>
      <w:pPr>
        <w:ind w:left="4103" w:hanging="180"/>
      </w:pPr>
    </w:lvl>
    <w:lvl w:ilvl="6" w:tplc="0418000F" w:tentative="1">
      <w:start w:val="1"/>
      <w:numFmt w:val="decimal"/>
      <w:lvlText w:val="%7."/>
      <w:lvlJc w:val="left"/>
      <w:pPr>
        <w:ind w:left="4823" w:hanging="360"/>
      </w:pPr>
    </w:lvl>
    <w:lvl w:ilvl="7" w:tplc="04180019" w:tentative="1">
      <w:start w:val="1"/>
      <w:numFmt w:val="lowerLetter"/>
      <w:lvlText w:val="%8."/>
      <w:lvlJc w:val="left"/>
      <w:pPr>
        <w:ind w:left="5543" w:hanging="360"/>
      </w:pPr>
    </w:lvl>
    <w:lvl w:ilvl="8" w:tplc="0418001B" w:tentative="1">
      <w:start w:val="1"/>
      <w:numFmt w:val="lowerRoman"/>
      <w:lvlText w:val="%9."/>
      <w:lvlJc w:val="right"/>
      <w:pPr>
        <w:ind w:left="6263" w:hanging="180"/>
      </w:pPr>
    </w:lvl>
  </w:abstractNum>
  <w:abstractNum w:abstractNumId="27" w15:restartNumberingAfterBreak="0">
    <w:nsid w:val="38DC0839"/>
    <w:multiLevelType w:val="multilevel"/>
    <w:tmpl w:val="5672EA1E"/>
    <w:lvl w:ilvl="0">
      <w:start w:val="1"/>
      <w:numFmt w:val="decimal"/>
      <w:lvlText w:val="%1."/>
      <w:lvlJc w:val="left"/>
      <w:pPr>
        <w:ind w:left="644" w:hanging="360"/>
      </w:pPr>
      <w:rPr>
        <w:rFonts w:ascii="Times New Roman" w:hAnsi="Times New Roman" w:cs="Times New Roman" w:hint="default"/>
        <w:b w:val="0"/>
        <w:color w:val="auto"/>
        <w:sz w:val="24"/>
        <w:lang w:val="en-GB"/>
      </w:rPr>
    </w:lvl>
    <w:lvl w:ilvl="1">
      <w:start w:val="1"/>
      <w:numFmt w:val="decimal"/>
      <w:lvlText w:val="%2)"/>
      <w:lvlJc w:val="left"/>
      <w:pPr>
        <w:ind w:left="1070" w:hanging="360"/>
      </w:pPr>
      <w:rPr>
        <w:rFonts w:hint="default"/>
        <w:b w:val="0"/>
      </w:rPr>
    </w:lvl>
    <w:lvl w:ilvl="2">
      <w:start w:val="1"/>
      <w:numFmt w:val="lowerLetter"/>
      <w:lvlText w:val="%3)"/>
      <w:lvlJc w:val="left"/>
      <w:pPr>
        <w:ind w:left="2897" w:hanging="180"/>
      </w:pPr>
      <w:rPr>
        <w:rFonts w:hint="default"/>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28" w15:restartNumberingAfterBreak="0">
    <w:nsid w:val="39007751"/>
    <w:multiLevelType w:val="hybridMultilevel"/>
    <w:tmpl w:val="A9164502"/>
    <w:lvl w:ilvl="0" w:tplc="D102F014">
      <w:start w:val="1"/>
      <w:numFmt w:val="decimal"/>
      <w:lvlText w:val="%1."/>
      <w:lvlJc w:val="left"/>
      <w:pPr>
        <w:ind w:left="1429" w:hanging="360"/>
      </w:pPr>
      <w:rPr>
        <w:rFonts w:ascii="Times New Roman" w:eastAsia="Times New Roman" w:hAnsi="Times New Roman" w:cs="Times New Roman"/>
        <w:b w:val="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4DD03F2"/>
    <w:multiLevelType w:val="hybridMultilevel"/>
    <w:tmpl w:val="E30CCA04"/>
    <w:lvl w:ilvl="0" w:tplc="99200D4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6764F60"/>
    <w:multiLevelType w:val="hybridMultilevel"/>
    <w:tmpl w:val="92AEC868"/>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B719D4"/>
    <w:multiLevelType w:val="hybridMultilevel"/>
    <w:tmpl w:val="103E9C64"/>
    <w:lvl w:ilvl="0" w:tplc="50A09D8A">
      <w:start w:val="1"/>
      <w:numFmt w:val="decimal"/>
      <w:lvlText w:val="%1."/>
      <w:lvlJc w:val="left"/>
      <w:pPr>
        <w:ind w:left="1068" w:hanging="360"/>
      </w:pPr>
      <w:rPr>
        <w:rFonts w:hint="default"/>
        <w:b/>
        <w:i w:val="0"/>
        <w:iCs w:val="0"/>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6507EE5"/>
    <w:multiLevelType w:val="hybridMultilevel"/>
    <w:tmpl w:val="FA8A4A76"/>
    <w:lvl w:ilvl="0" w:tplc="1320F94C">
      <w:start w:val="1"/>
      <w:numFmt w:val="decimal"/>
      <w:lvlText w:val="%1)"/>
      <w:lvlJc w:val="left"/>
      <w:pPr>
        <w:ind w:left="1571" w:hanging="360"/>
      </w:pPr>
      <w:rPr>
        <w:rFonts w:ascii="Times New Roman" w:eastAsia="Times New Roman" w:hAnsi="Times New Roman" w:cs="Times New Roman"/>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15:restartNumberingAfterBreak="0">
    <w:nsid w:val="57CA1BA6"/>
    <w:multiLevelType w:val="hybridMultilevel"/>
    <w:tmpl w:val="3A9E3D94"/>
    <w:lvl w:ilvl="0" w:tplc="DBECA37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477A5F"/>
    <w:multiLevelType w:val="hybridMultilevel"/>
    <w:tmpl w:val="B7D85A7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0809001B">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222338"/>
    <w:multiLevelType w:val="hybridMultilevel"/>
    <w:tmpl w:val="46E892DA"/>
    <w:lvl w:ilvl="0" w:tplc="69BCD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BF17C7"/>
    <w:multiLevelType w:val="hybridMultilevel"/>
    <w:tmpl w:val="C3424A9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30455D9"/>
    <w:multiLevelType w:val="hybridMultilevel"/>
    <w:tmpl w:val="4F6AEBFE"/>
    <w:lvl w:ilvl="0" w:tplc="13FABA36">
      <w:start w:val="1"/>
      <w:numFmt w:val="decimal"/>
      <w:lvlText w:val="%1."/>
      <w:lvlJc w:val="left"/>
      <w:pPr>
        <w:ind w:left="720" w:hanging="360"/>
      </w:pPr>
      <w:rPr>
        <w:rFonts w:hint="default"/>
        <w:b/>
        <w:i w:val="0"/>
        <w:color w:val="auto"/>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9C73D71"/>
    <w:multiLevelType w:val="hybridMultilevel"/>
    <w:tmpl w:val="A9164502"/>
    <w:lvl w:ilvl="0" w:tplc="D102F014">
      <w:start w:val="1"/>
      <w:numFmt w:val="decimal"/>
      <w:lvlText w:val="%1."/>
      <w:lvlJc w:val="left"/>
      <w:pPr>
        <w:ind w:left="1429" w:hanging="360"/>
      </w:pPr>
      <w:rPr>
        <w:rFonts w:ascii="Times New Roman" w:eastAsia="Times New Roman" w:hAnsi="Times New Roman" w:cs="Times New Roman"/>
        <w:b w:val="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9D03086"/>
    <w:multiLevelType w:val="hybridMultilevel"/>
    <w:tmpl w:val="265ABCC6"/>
    <w:lvl w:ilvl="0" w:tplc="C35E9130">
      <w:start w:val="1"/>
      <w:numFmt w:val="decimal"/>
      <w:lvlText w:val="%1."/>
      <w:lvlJc w:val="left"/>
      <w:pPr>
        <w:ind w:left="720" w:hanging="360"/>
      </w:pPr>
      <w:rPr>
        <w:rFonts w:ascii="Times New Roman" w:hAnsi="Times New Roman" w:cs="Times New Roman" w:hint="default"/>
        <w:b w:val="0"/>
        <w:i w:val="0"/>
        <w:color w:val="auto"/>
      </w:rPr>
    </w:lvl>
    <w:lvl w:ilvl="1" w:tplc="59C8D5C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597DAC"/>
    <w:multiLevelType w:val="hybridMultilevel"/>
    <w:tmpl w:val="FB605796"/>
    <w:lvl w:ilvl="0" w:tplc="B6FA3F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2B715D"/>
    <w:multiLevelType w:val="hybridMultilevel"/>
    <w:tmpl w:val="4F8C23E4"/>
    <w:lvl w:ilvl="0" w:tplc="A36294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3"/>
  </w:num>
  <w:num w:numId="3">
    <w:abstractNumId w:val="35"/>
  </w:num>
  <w:num w:numId="4">
    <w:abstractNumId w:val="13"/>
  </w:num>
  <w:num w:numId="5">
    <w:abstractNumId w:val="31"/>
  </w:num>
  <w:num w:numId="6">
    <w:abstractNumId w:val="20"/>
  </w:num>
  <w:num w:numId="7">
    <w:abstractNumId w:val="41"/>
  </w:num>
  <w:num w:numId="8">
    <w:abstractNumId w:val="12"/>
  </w:num>
  <w:num w:numId="9">
    <w:abstractNumId w:val="37"/>
  </w:num>
  <w:num w:numId="10">
    <w:abstractNumId w:val="14"/>
  </w:num>
  <w:num w:numId="11">
    <w:abstractNumId w:val="39"/>
  </w:num>
  <w:num w:numId="12">
    <w:abstractNumId w:val="34"/>
  </w:num>
  <w:num w:numId="13">
    <w:abstractNumId w:val="25"/>
  </w:num>
  <w:num w:numId="14">
    <w:abstractNumId w:val="9"/>
  </w:num>
  <w:num w:numId="15">
    <w:abstractNumId w:val="5"/>
  </w:num>
  <w:num w:numId="16">
    <w:abstractNumId w:val="21"/>
  </w:num>
  <w:num w:numId="17">
    <w:abstractNumId w:val="36"/>
  </w:num>
  <w:num w:numId="18">
    <w:abstractNumId w:val="10"/>
  </w:num>
  <w:num w:numId="19">
    <w:abstractNumId w:val="1"/>
  </w:num>
  <w:num w:numId="20">
    <w:abstractNumId w:val="7"/>
  </w:num>
  <w:num w:numId="21">
    <w:abstractNumId w:val="32"/>
  </w:num>
  <w:num w:numId="22">
    <w:abstractNumId w:val="8"/>
  </w:num>
  <w:num w:numId="23">
    <w:abstractNumId w:val="24"/>
  </w:num>
  <w:num w:numId="24">
    <w:abstractNumId w:val="40"/>
  </w:num>
  <w:num w:numId="25">
    <w:abstractNumId w:val="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7"/>
  </w:num>
  <w:num w:numId="30">
    <w:abstractNumId w:val="11"/>
  </w:num>
  <w:num w:numId="31">
    <w:abstractNumId w:val="38"/>
  </w:num>
  <w:num w:numId="32">
    <w:abstractNumId w:val="0"/>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19"/>
  </w:num>
  <w:num w:numId="41">
    <w:abstractNumId w:val="30"/>
  </w:num>
  <w:num w:numId="42">
    <w:abstractNumId w:val="18"/>
  </w:num>
  <w:num w:numId="43">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10"/>
    <w:rsid w:val="000001B0"/>
    <w:rsid w:val="0000098F"/>
    <w:rsid w:val="00000D50"/>
    <w:rsid w:val="00003487"/>
    <w:rsid w:val="00003951"/>
    <w:rsid w:val="000040C3"/>
    <w:rsid w:val="00004388"/>
    <w:rsid w:val="000043AD"/>
    <w:rsid w:val="0000480D"/>
    <w:rsid w:val="00007859"/>
    <w:rsid w:val="00007F4C"/>
    <w:rsid w:val="00007FDA"/>
    <w:rsid w:val="00011E0B"/>
    <w:rsid w:val="0001235A"/>
    <w:rsid w:val="000124A2"/>
    <w:rsid w:val="00013CAB"/>
    <w:rsid w:val="00015202"/>
    <w:rsid w:val="000161C5"/>
    <w:rsid w:val="00016ECC"/>
    <w:rsid w:val="00020D45"/>
    <w:rsid w:val="00021A21"/>
    <w:rsid w:val="00021D65"/>
    <w:rsid w:val="00022B6A"/>
    <w:rsid w:val="00023DE9"/>
    <w:rsid w:val="00023EE1"/>
    <w:rsid w:val="00024793"/>
    <w:rsid w:val="00024976"/>
    <w:rsid w:val="0002544C"/>
    <w:rsid w:val="0002652E"/>
    <w:rsid w:val="00027B01"/>
    <w:rsid w:val="00027C07"/>
    <w:rsid w:val="000313FD"/>
    <w:rsid w:val="0003356C"/>
    <w:rsid w:val="00033A3F"/>
    <w:rsid w:val="00033D0A"/>
    <w:rsid w:val="00033F81"/>
    <w:rsid w:val="00035764"/>
    <w:rsid w:val="00036216"/>
    <w:rsid w:val="00036255"/>
    <w:rsid w:val="00041417"/>
    <w:rsid w:val="00041843"/>
    <w:rsid w:val="00041BE2"/>
    <w:rsid w:val="0004495F"/>
    <w:rsid w:val="000464B7"/>
    <w:rsid w:val="00050293"/>
    <w:rsid w:val="00051052"/>
    <w:rsid w:val="00051520"/>
    <w:rsid w:val="00054B1D"/>
    <w:rsid w:val="00054F05"/>
    <w:rsid w:val="000558E3"/>
    <w:rsid w:val="00056ABF"/>
    <w:rsid w:val="00056BFC"/>
    <w:rsid w:val="00056C33"/>
    <w:rsid w:val="00056D91"/>
    <w:rsid w:val="00057525"/>
    <w:rsid w:val="0005766D"/>
    <w:rsid w:val="00057EF5"/>
    <w:rsid w:val="0006034A"/>
    <w:rsid w:val="00061282"/>
    <w:rsid w:val="0006133A"/>
    <w:rsid w:val="000614B1"/>
    <w:rsid w:val="000626A8"/>
    <w:rsid w:val="00062932"/>
    <w:rsid w:val="000634C3"/>
    <w:rsid w:val="000656F8"/>
    <w:rsid w:val="00065C1B"/>
    <w:rsid w:val="00066B3A"/>
    <w:rsid w:val="00066C45"/>
    <w:rsid w:val="00066EEE"/>
    <w:rsid w:val="0007113F"/>
    <w:rsid w:val="0007132B"/>
    <w:rsid w:val="000736C1"/>
    <w:rsid w:val="00074698"/>
    <w:rsid w:val="00074E4E"/>
    <w:rsid w:val="000753E5"/>
    <w:rsid w:val="00075EE7"/>
    <w:rsid w:val="00075F8F"/>
    <w:rsid w:val="00075FAE"/>
    <w:rsid w:val="00076826"/>
    <w:rsid w:val="000768B6"/>
    <w:rsid w:val="00076EA1"/>
    <w:rsid w:val="0008068A"/>
    <w:rsid w:val="00080C91"/>
    <w:rsid w:val="00081FA1"/>
    <w:rsid w:val="000824B0"/>
    <w:rsid w:val="00082D06"/>
    <w:rsid w:val="00083913"/>
    <w:rsid w:val="000839C8"/>
    <w:rsid w:val="00083D87"/>
    <w:rsid w:val="00085542"/>
    <w:rsid w:val="000872D8"/>
    <w:rsid w:val="000911E1"/>
    <w:rsid w:val="00091E2D"/>
    <w:rsid w:val="0009231C"/>
    <w:rsid w:val="0009288F"/>
    <w:rsid w:val="00092E4C"/>
    <w:rsid w:val="00093821"/>
    <w:rsid w:val="00094086"/>
    <w:rsid w:val="0009442E"/>
    <w:rsid w:val="0009512A"/>
    <w:rsid w:val="00095225"/>
    <w:rsid w:val="00095493"/>
    <w:rsid w:val="0009550D"/>
    <w:rsid w:val="000965DD"/>
    <w:rsid w:val="00096A7D"/>
    <w:rsid w:val="0009799D"/>
    <w:rsid w:val="000A0744"/>
    <w:rsid w:val="000A0C9E"/>
    <w:rsid w:val="000A0E12"/>
    <w:rsid w:val="000A2CEE"/>
    <w:rsid w:val="000A3139"/>
    <w:rsid w:val="000A3223"/>
    <w:rsid w:val="000A4B09"/>
    <w:rsid w:val="000A4EAC"/>
    <w:rsid w:val="000A5436"/>
    <w:rsid w:val="000A551B"/>
    <w:rsid w:val="000A5C98"/>
    <w:rsid w:val="000A7B2A"/>
    <w:rsid w:val="000A7D46"/>
    <w:rsid w:val="000B038D"/>
    <w:rsid w:val="000B17AC"/>
    <w:rsid w:val="000B1B1E"/>
    <w:rsid w:val="000B2783"/>
    <w:rsid w:val="000B357C"/>
    <w:rsid w:val="000B629F"/>
    <w:rsid w:val="000B6CC4"/>
    <w:rsid w:val="000B7219"/>
    <w:rsid w:val="000C0C99"/>
    <w:rsid w:val="000C1C46"/>
    <w:rsid w:val="000C2A06"/>
    <w:rsid w:val="000C2A15"/>
    <w:rsid w:val="000C2C85"/>
    <w:rsid w:val="000C420D"/>
    <w:rsid w:val="000C6D95"/>
    <w:rsid w:val="000C7020"/>
    <w:rsid w:val="000C7D93"/>
    <w:rsid w:val="000D43E2"/>
    <w:rsid w:val="000E07B9"/>
    <w:rsid w:val="000E14F2"/>
    <w:rsid w:val="000E1A4A"/>
    <w:rsid w:val="000E1AA4"/>
    <w:rsid w:val="000E27A4"/>
    <w:rsid w:val="000E407E"/>
    <w:rsid w:val="000E6A85"/>
    <w:rsid w:val="000E752F"/>
    <w:rsid w:val="000F011F"/>
    <w:rsid w:val="000F07CC"/>
    <w:rsid w:val="000F0D80"/>
    <w:rsid w:val="000F107F"/>
    <w:rsid w:val="000F2517"/>
    <w:rsid w:val="000F268F"/>
    <w:rsid w:val="000F35A7"/>
    <w:rsid w:val="000F38DB"/>
    <w:rsid w:val="000F39ED"/>
    <w:rsid w:val="000F4BEF"/>
    <w:rsid w:val="000F61F5"/>
    <w:rsid w:val="000F6432"/>
    <w:rsid w:val="000F6623"/>
    <w:rsid w:val="0010023C"/>
    <w:rsid w:val="00101070"/>
    <w:rsid w:val="00103006"/>
    <w:rsid w:val="00103C38"/>
    <w:rsid w:val="00103DFE"/>
    <w:rsid w:val="00104517"/>
    <w:rsid w:val="00105182"/>
    <w:rsid w:val="00105878"/>
    <w:rsid w:val="00105BB5"/>
    <w:rsid w:val="00105EF5"/>
    <w:rsid w:val="00107151"/>
    <w:rsid w:val="00111729"/>
    <w:rsid w:val="00111FC6"/>
    <w:rsid w:val="00113E57"/>
    <w:rsid w:val="00116BAD"/>
    <w:rsid w:val="00117021"/>
    <w:rsid w:val="001175BF"/>
    <w:rsid w:val="0012043E"/>
    <w:rsid w:val="00121786"/>
    <w:rsid w:val="001219CA"/>
    <w:rsid w:val="00121FCF"/>
    <w:rsid w:val="00122C7B"/>
    <w:rsid w:val="00122D22"/>
    <w:rsid w:val="00124ABF"/>
    <w:rsid w:val="00125FEC"/>
    <w:rsid w:val="00126044"/>
    <w:rsid w:val="001260A5"/>
    <w:rsid w:val="0012696F"/>
    <w:rsid w:val="00126E65"/>
    <w:rsid w:val="00127AF7"/>
    <w:rsid w:val="0013024A"/>
    <w:rsid w:val="0013079A"/>
    <w:rsid w:val="0013086B"/>
    <w:rsid w:val="00131C2E"/>
    <w:rsid w:val="0013201C"/>
    <w:rsid w:val="00133ADD"/>
    <w:rsid w:val="00134B4C"/>
    <w:rsid w:val="00135FD9"/>
    <w:rsid w:val="001365AF"/>
    <w:rsid w:val="00137091"/>
    <w:rsid w:val="00137DAC"/>
    <w:rsid w:val="00140E34"/>
    <w:rsid w:val="00142A20"/>
    <w:rsid w:val="00142AB9"/>
    <w:rsid w:val="00145896"/>
    <w:rsid w:val="001461D3"/>
    <w:rsid w:val="0014725D"/>
    <w:rsid w:val="00150618"/>
    <w:rsid w:val="001509CE"/>
    <w:rsid w:val="0015133F"/>
    <w:rsid w:val="00152E5F"/>
    <w:rsid w:val="0015421A"/>
    <w:rsid w:val="001555C4"/>
    <w:rsid w:val="00156F39"/>
    <w:rsid w:val="001573CA"/>
    <w:rsid w:val="0016043E"/>
    <w:rsid w:val="00160EE8"/>
    <w:rsid w:val="0016430C"/>
    <w:rsid w:val="001648B6"/>
    <w:rsid w:val="00165817"/>
    <w:rsid w:val="00166B4F"/>
    <w:rsid w:val="001677FB"/>
    <w:rsid w:val="00167977"/>
    <w:rsid w:val="00167E37"/>
    <w:rsid w:val="00170162"/>
    <w:rsid w:val="00171DDE"/>
    <w:rsid w:val="00171EC6"/>
    <w:rsid w:val="00172FC3"/>
    <w:rsid w:val="0017359B"/>
    <w:rsid w:val="0017481D"/>
    <w:rsid w:val="00174DCF"/>
    <w:rsid w:val="0017620A"/>
    <w:rsid w:val="001762C5"/>
    <w:rsid w:val="00176F1B"/>
    <w:rsid w:val="00177261"/>
    <w:rsid w:val="0017738F"/>
    <w:rsid w:val="00177394"/>
    <w:rsid w:val="0018148A"/>
    <w:rsid w:val="00182201"/>
    <w:rsid w:val="00183EC2"/>
    <w:rsid w:val="001843FA"/>
    <w:rsid w:val="0018534F"/>
    <w:rsid w:val="00185948"/>
    <w:rsid w:val="00186A2B"/>
    <w:rsid w:val="00186EF4"/>
    <w:rsid w:val="001871C6"/>
    <w:rsid w:val="00190817"/>
    <w:rsid w:val="0019091A"/>
    <w:rsid w:val="00190926"/>
    <w:rsid w:val="0019147D"/>
    <w:rsid w:val="001924D6"/>
    <w:rsid w:val="001927BF"/>
    <w:rsid w:val="00192D19"/>
    <w:rsid w:val="00193080"/>
    <w:rsid w:val="00195B5A"/>
    <w:rsid w:val="00196A3D"/>
    <w:rsid w:val="001A0F71"/>
    <w:rsid w:val="001A10E6"/>
    <w:rsid w:val="001A138A"/>
    <w:rsid w:val="001A2057"/>
    <w:rsid w:val="001A30D2"/>
    <w:rsid w:val="001A3A73"/>
    <w:rsid w:val="001A54EB"/>
    <w:rsid w:val="001A66AF"/>
    <w:rsid w:val="001A67F9"/>
    <w:rsid w:val="001A770E"/>
    <w:rsid w:val="001B03C3"/>
    <w:rsid w:val="001B3128"/>
    <w:rsid w:val="001B3626"/>
    <w:rsid w:val="001B3694"/>
    <w:rsid w:val="001B503F"/>
    <w:rsid w:val="001B5C9D"/>
    <w:rsid w:val="001B644D"/>
    <w:rsid w:val="001C055F"/>
    <w:rsid w:val="001C06E9"/>
    <w:rsid w:val="001C18A2"/>
    <w:rsid w:val="001C254B"/>
    <w:rsid w:val="001C38CC"/>
    <w:rsid w:val="001C4C72"/>
    <w:rsid w:val="001C546C"/>
    <w:rsid w:val="001C6201"/>
    <w:rsid w:val="001C6F9F"/>
    <w:rsid w:val="001C73DE"/>
    <w:rsid w:val="001C74D3"/>
    <w:rsid w:val="001C77CA"/>
    <w:rsid w:val="001D0CB1"/>
    <w:rsid w:val="001D1609"/>
    <w:rsid w:val="001D2324"/>
    <w:rsid w:val="001D25AD"/>
    <w:rsid w:val="001D3283"/>
    <w:rsid w:val="001D4DC1"/>
    <w:rsid w:val="001D4F7F"/>
    <w:rsid w:val="001D7114"/>
    <w:rsid w:val="001D7793"/>
    <w:rsid w:val="001E0583"/>
    <w:rsid w:val="001E0649"/>
    <w:rsid w:val="001E0AE7"/>
    <w:rsid w:val="001E12E9"/>
    <w:rsid w:val="001E1599"/>
    <w:rsid w:val="001E19F7"/>
    <w:rsid w:val="001E1E5E"/>
    <w:rsid w:val="001E337F"/>
    <w:rsid w:val="001E35E1"/>
    <w:rsid w:val="001E3E73"/>
    <w:rsid w:val="001E4380"/>
    <w:rsid w:val="001E4B7C"/>
    <w:rsid w:val="001E62B8"/>
    <w:rsid w:val="001E66C8"/>
    <w:rsid w:val="001E7C24"/>
    <w:rsid w:val="001F098A"/>
    <w:rsid w:val="001F0CB3"/>
    <w:rsid w:val="001F2234"/>
    <w:rsid w:val="001F3F59"/>
    <w:rsid w:val="001F3FE5"/>
    <w:rsid w:val="001F49C6"/>
    <w:rsid w:val="001F5AF3"/>
    <w:rsid w:val="001F5EB7"/>
    <w:rsid w:val="002006F2"/>
    <w:rsid w:val="0020073E"/>
    <w:rsid w:val="00203860"/>
    <w:rsid w:val="002055DE"/>
    <w:rsid w:val="00205892"/>
    <w:rsid w:val="002067DB"/>
    <w:rsid w:val="00207E5B"/>
    <w:rsid w:val="0021090D"/>
    <w:rsid w:val="00213A1E"/>
    <w:rsid w:val="002141F4"/>
    <w:rsid w:val="00216720"/>
    <w:rsid w:val="00216FF6"/>
    <w:rsid w:val="002216E1"/>
    <w:rsid w:val="0022179D"/>
    <w:rsid w:val="00221D25"/>
    <w:rsid w:val="002241DC"/>
    <w:rsid w:val="0022571E"/>
    <w:rsid w:val="002257FC"/>
    <w:rsid w:val="00225D03"/>
    <w:rsid w:val="00226AC8"/>
    <w:rsid w:val="002277B3"/>
    <w:rsid w:val="00227CF2"/>
    <w:rsid w:val="00230469"/>
    <w:rsid w:val="00230FA1"/>
    <w:rsid w:val="00231349"/>
    <w:rsid w:val="0023193F"/>
    <w:rsid w:val="002333C5"/>
    <w:rsid w:val="00234F65"/>
    <w:rsid w:val="00237CC1"/>
    <w:rsid w:val="00240161"/>
    <w:rsid w:val="002432D0"/>
    <w:rsid w:val="00244D81"/>
    <w:rsid w:val="00244E34"/>
    <w:rsid w:val="00247FC3"/>
    <w:rsid w:val="002504C3"/>
    <w:rsid w:val="00253757"/>
    <w:rsid w:val="002540DC"/>
    <w:rsid w:val="0025470D"/>
    <w:rsid w:val="00255551"/>
    <w:rsid w:val="0025558E"/>
    <w:rsid w:val="00255B62"/>
    <w:rsid w:val="002560A4"/>
    <w:rsid w:val="00257C42"/>
    <w:rsid w:val="00261FC4"/>
    <w:rsid w:val="00262D5B"/>
    <w:rsid w:val="00262ED7"/>
    <w:rsid w:val="00265291"/>
    <w:rsid w:val="00265C6B"/>
    <w:rsid w:val="0026653D"/>
    <w:rsid w:val="00266801"/>
    <w:rsid w:val="00266E3C"/>
    <w:rsid w:val="0027238B"/>
    <w:rsid w:val="00272F55"/>
    <w:rsid w:val="00275724"/>
    <w:rsid w:val="00277A9A"/>
    <w:rsid w:val="002800F0"/>
    <w:rsid w:val="002806F1"/>
    <w:rsid w:val="0028159E"/>
    <w:rsid w:val="00281764"/>
    <w:rsid w:val="00281A09"/>
    <w:rsid w:val="0028239A"/>
    <w:rsid w:val="0028360D"/>
    <w:rsid w:val="00284166"/>
    <w:rsid w:val="0028443E"/>
    <w:rsid w:val="00284B20"/>
    <w:rsid w:val="00286F86"/>
    <w:rsid w:val="00287CBF"/>
    <w:rsid w:val="00290D54"/>
    <w:rsid w:val="00291AB3"/>
    <w:rsid w:val="00293170"/>
    <w:rsid w:val="002939D4"/>
    <w:rsid w:val="00293BFC"/>
    <w:rsid w:val="00294317"/>
    <w:rsid w:val="00295273"/>
    <w:rsid w:val="00295288"/>
    <w:rsid w:val="00297360"/>
    <w:rsid w:val="002A09A9"/>
    <w:rsid w:val="002A0EE2"/>
    <w:rsid w:val="002A30B6"/>
    <w:rsid w:val="002A35F6"/>
    <w:rsid w:val="002A39A1"/>
    <w:rsid w:val="002A3C9E"/>
    <w:rsid w:val="002A427F"/>
    <w:rsid w:val="002A4887"/>
    <w:rsid w:val="002A6C27"/>
    <w:rsid w:val="002A6C76"/>
    <w:rsid w:val="002A7551"/>
    <w:rsid w:val="002B11A6"/>
    <w:rsid w:val="002B17B4"/>
    <w:rsid w:val="002B186F"/>
    <w:rsid w:val="002B25BA"/>
    <w:rsid w:val="002B2983"/>
    <w:rsid w:val="002B322E"/>
    <w:rsid w:val="002B3953"/>
    <w:rsid w:val="002B553A"/>
    <w:rsid w:val="002B6E37"/>
    <w:rsid w:val="002C0CE1"/>
    <w:rsid w:val="002C118B"/>
    <w:rsid w:val="002C42C7"/>
    <w:rsid w:val="002C4340"/>
    <w:rsid w:val="002C43EC"/>
    <w:rsid w:val="002C5325"/>
    <w:rsid w:val="002C556B"/>
    <w:rsid w:val="002C58D0"/>
    <w:rsid w:val="002C593B"/>
    <w:rsid w:val="002C6F34"/>
    <w:rsid w:val="002C7233"/>
    <w:rsid w:val="002C7296"/>
    <w:rsid w:val="002C7E08"/>
    <w:rsid w:val="002D12DE"/>
    <w:rsid w:val="002D13E8"/>
    <w:rsid w:val="002D1E48"/>
    <w:rsid w:val="002D2C68"/>
    <w:rsid w:val="002D4498"/>
    <w:rsid w:val="002D51E9"/>
    <w:rsid w:val="002D53B2"/>
    <w:rsid w:val="002D6307"/>
    <w:rsid w:val="002D77D2"/>
    <w:rsid w:val="002E026C"/>
    <w:rsid w:val="002E065C"/>
    <w:rsid w:val="002E0BA0"/>
    <w:rsid w:val="002E125A"/>
    <w:rsid w:val="002E29AF"/>
    <w:rsid w:val="002E33F4"/>
    <w:rsid w:val="002E34EE"/>
    <w:rsid w:val="002E3B51"/>
    <w:rsid w:val="002E3E63"/>
    <w:rsid w:val="002E421F"/>
    <w:rsid w:val="002E4DBD"/>
    <w:rsid w:val="002E50E6"/>
    <w:rsid w:val="002E53F5"/>
    <w:rsid w:val="002E5EFA"/>
    <w:rsid w:val="002E7CE7"/>
    <w:rsid w:val="002F0520"/>
    <w:rsid w:val="002F16EB"/>
    <w:rsid w:val="002F1D70"/>
    <w:rsid w:val="002F252A"/>
    <w:rsid w:val="002F2F7C"/>
    <w:rsid w:val="002F3634"/>
    <w:rsid w:val="002F5556"/>
    <w:rsid w:val="002F6612"/>
    <w:rsid w:val="002F6712"/>
    <w:rsid w:val="003008A0"/>
    <w:rsid w:val="003008E0"/>
    <w:rsid w:val="00300D18"/>
    <w:rsid w:val="003014D3"/>
    <w:rsid w:val="00302C7C"/>
    <w:rsid w:val="00302D99"/>
    <w:rsid w:val="00303097"/>
    <w:rsid w:val="00304281"/>
    <w:rsid w:val="00305B19"/>
    <w:rsid w:val="00307560"/>
    <w:rsid w:val="003075A6"/>
    <w:rsid w:val="00307EF3"/>
    <w:rsid w:val="00311B37"/>
    <w:rsid w:val="003139B5"/>
    <w:rsid w:val="00314670"/>
    <w:rsid w:val="00315B95"/>
    <w:rsid w:val="00315E9A"/>
    <w:rsid w:val="0031653C"/>
    <w:rsid w:val="00316BC2"/>
    <w:rsid w:val="00320B14"/>
    <w:rsid w:val="00320CA4"/>
    <w:rsid w:val="00321474"/>
    <w:rsid w:val="00321589"/>
    <w:rsid w:val="00321659"/>
    <w:rsid w:val="003219B2"/>
    <w:rsid w:val="00323703"/>
    <w:rsid w:val="003238C6"/>
    <w:rsid w:val="00323FB6"/>
    <w:rsid w:val="00325ACB"/>
    <w:rsid w:val="00326C89"/>
    <w:rsid w:val="00327C06"/>
    <w:rsid w:val="00330EC3"/>
    <w:rsid w:val="00331AF1"/>
    <w:rsid w:val="00331E4C"/>
    <w:rsid w:val="003326F1"/>
    <w:rsid w:val="0033358A"/>
    <w:rsid w:val="0033379E"/>
    <w:rsid w:val="0033389C"/>
    <w:rsid w:val="00334106"/>
    <w:rsid w:val="003351E2"/>
    <w:rsid w:val="003352EA"/>
    <w:rsid w:val="0033567C"/>
    <w:rsid w:val="003365A6"/>
    <w:rsid w:val="0033660F"/>
    <w:rsid w:val="00336B97"/>
    <w:rsid w:val="00337659"/>
    <w:rsid w:val="0034073C"/>
    <w:rsid w:val="0034138C"/>
    <w:rsid w:val="0034214E"/>
    <w:rsid w:val="00343EB2"/>
    <w:rsid w:val="00344A5A"/>
    <w:rsid w:val="003518FA"/>
    <w:rsid w:val="003542A6"/>
    <w:rsid w:val="00355DFE"/>
    <w:rsid w:val="00360B1E"/>
    <w:rsid w:val="00361E27"/>
    <w:rsid w:val="00362176"/>
    <w:rsid w:val="003623A8"/>
    <w:rsid w:val="00362567"/>
    <w:rsid w:val="00363969"/>
    <w:rsid w:val="00363A9E"/>
    <w:rsid w:val="00363B7A"/>
    <w:rsid w:val="00363BBC"/>
    <w:rsid w:val="00363D10"/>
    <w:rsid w:val="0036649A"/>
    <w:rsid w:val="00366A96"/>
    <w:rsid w:val="00367447"/>
    <w:rsid w:val="00370693"/>
    <w:rsid w:val="00370724"/>
    <w:rsid w:val="00371171"/>
    <w:rsid w:val="0037212B"/>
    <w:rsid w:val="00372EC9"/>
    <w:rsid w:val="00373A8F"/>
    <w:rsid w:val="00375A37"/>
    <w:rsid w:val="00377998"/>
    <w:rsid w:val="003815D4"/>
    <w:rsid w:val="00381C71"/>
    <w:rsid w:val="00383C84"/>
    <w:rsid w:val="00385158"/>
    <w:rsid w:val="003854DB"/>
    <w:rsid w:val="00391B34"/>
    <w:rsid w:val="00391C9A"/>
    <w:rsid w:val="0039324A"/>
    <w:rsid w:val="00394473"/>
    <w:rsid w:val="00395775"/>
    <w:rsid w:val="003961D6"/>
    <w:rsid w:val="003977A6"/>
    <w:rsid w:val="00397CB3"/>
    <w:rsid w:val="003A03AA"/>
    <w:rsid w:val="003A109E"/>
    <w:rsid w:val="003A128D"/>
    <w:rsid w:val="003A17B4"/>
    <w:rsid w:val="003A459D"/>
    <w:rsid w:val="003A5D02"/>
    <w:rsid w:val="003A5FFF"/>
    <w:rsid w:val="003A781F"/>
    <w:rsid w:val="003B0B0D"/>
    <w:rsid w:val="003B0DC5"/>
    <w:rsid w:val="003B13D9"/>
    <w:rsid w:val="003B2454"/>
    <w:rsid w:val="003B2F07"/>
    <w:rsid w:val="003B3E84"/>
    <w:rsid w:val="003B4F58"/>
    <w:rsid w:val="003B563A"/>
    <w:rsid w:val="003B56D9"/>
    <w:rsid w:val="003B60E1"/>
    <w:rsid w:val="003B634C"/>
    <w:rsid w:val="003B6470"/>
    <w:rsid w:val="003B6825"/>
    <w:rsid w:val="003B7363"/>
    <w:rsid w:val="003C1500"/>
    <w:rsid w:val="003C1B83"/>
    <w:rsid w:val="003C25B8"/>
    <w:rsid w:val="003C4468"/>
    <w:rsid w:val="003C4BC1"/>
    <w:rsid w:val="003C53DC"/>
    <w:rsid w:val="003C56ED"/>
    <w:rsid w:val="003C57A7"/>
    <w:rsid w:val="003C5A09"/>
    <w:rsid w:val="003C6720"/>
    <w:rsid w:val="003D162B"/>
    <w:rsid w:val="003D2D91"/>
    <w:rsid w:val="003D2DAB"/>
    <w:rsid w:val="003D4B49"/>
    <w:rsid w:val="003D4BAB"/>
    <w:rsid w:val="003D4C56"/>
    <w:rsid w:val="003D4C7C"/>
    <w:rsid w:val="003D4CD3"/>
    <w:rsid w:val="003D582F"/>
    <w:rsid w:val="003D7CE6"/>
    <w:rsid w:val="003D7DF3"/>
    <w:rsid w:val="003E1958"/>
    <w:rsid w:val="003E1C2A"/>
    <w:rsid w:val="003E1E3B"/>
    <w:rsid w:val="003E21DA"/>
    <w:rsid w:val="003E27B2"/>
    <w:rsid w:val="003E31A1"/>
    <w:rsid w:val="003E3747"/>
    <w:rsid w:val="003E404F"/>
    <w:rsid w:val="003E681E"/>
    <w:rsid w:val="003E7D5A"/>
    <w:rsid w:val="003F1158"/>
    <w:rsid w:val="003F17C0"/>
    <w:rsid w:val="003F2916"/>
    <w:rsid w:val="003F58D2"/>
    <w:rsid w:val="003F72E5"/>
    <w:rsid w:val="003F7E94"/>
    <w:rsid w:val="00400255"/>
    <w:rsid w:val="0040057B"/>
    <w:rsid w:val="0040082D"/>
    <w:rsid w:val="00400B76"/>
    <w:rsid w:val="00400FEF"/>
    <w:rsid w:val="0040138D"/>
    <w:rsid w:val="0040193B"/>
    <w:rsid w:val="004021FC"/>
    <w:rsid w:val="00402D13"/>
    <w:rsid w:val="004031E5"/>
    <w:rsid w:val="00403A79"/>
    <w:rsid w:val="00404053"/>
    <w:rsid w:val="00404A85"/>
    <w:rsid w:val="004065E8"/>
    <w:rsid w:val="0041076B"/>
    <w:rsid w:val="004109BE"/>
    <w:rsid w:val="00410A23"/>
    <w:rsid w:val="004114CC"/>
    <w:rsid w:val="0041197D"/>
    <w:rsid w:val="00413636"/>
    <w:rsid w:val="004137C1"/>
    <w:rsid w:val="00416281"/>
    <w:rsid w:val="00417720"/>
    <w:rsid w:val="004178CF"/>
    <w:rsid w:val="00417F51"/>
    <w:rsid w:val="0042093D"/>
    <w:rsid w:val="0042323F"/>
    <w:rsid w:val="004242D2"/>
    <w:rsid w:val="0042482E"/>
    <w:rsid w:val="00424D9B"/>
    <w:rsid w:val="00430BB8"/>
    <w:rsid w:val="00431C1A"/>
    <w:rsid w:val="00431CB8"/>
    <w:rsid w:val="0043281A"/>
    <w:rsid w:val="00432BF3"/>
    <w:rsid w:val="004331D8"/>
    <w:rsid w:val="004334D8"/>
    <w:rsid w:val="00436694"/>
    <w:rsid w:val="00436A54"/>
    <w:rsid w:val="00437284"/>
    <w:rsid w:val="00442446"/>
    <w:rsid w:val="004433AF"/>
    <w:rsid w:val="004434AD"/>
    <w:rsid w:val="00443666"/>
    <w:rsid w:val="004437A3"/>
    <w:rsid w:val="00443905"/>
    <w:rsid w:val="00444317"/>
    <w:rsid w:val="004457F9"/>
    <w:rsid w:val="004458D7"/>
    <w:rsid w:val="00445D86"/>
    <w:rsid w:val="00450350"/>
    <w:rsid w:val="00450598"/>
    <w:rsid w:val="00450696"/>
    <w:rsid w:val="00450FB0"/>
    <w:rsid w:val="00451026"/>
    <w:rsid w:val="00451834"/>
    <w:rsid w:val="00451B38"/>
    <w:rsid w:val="004521DD"/>
    <w:rsid w:val="00452E0A"/>
    <w:rsid w:val="0045318C"/>
    <w:rsid w:val="0045396B"/>
    <w:rsid w:val="0045440B"/>
    <w:rsid w:val="00455AA0"/>
    <w:rsid w:val="00455DF5"/>
    <w:rsid w:val="004606F5"/>
    <w:rsid w:val="004608B4"/>
    <w:rsid w:val="00460D66"/>
    <w:rsid w:val="00460E1B"/>
    <w:rsid w:val="004611FA"/>
    <w:rsid w:val="00462FEF"/>
    <w:rsid w:val="004652DB"/>
    <w:rsid w:val="00466200"/>
    <w:rsid w:val="0046706B"/>
    <w:rsid w:val="00471C98"/>
    <w:rsid w:val="00472AC4"/>
    <w:rsid w:val="00472FD5"/>
    <w:rsid w:val="004730C3"/>
    <w:rsid w:val="004731BC"/>
    <w:rsid w:val="00473E7D"/>
    <w:rsid w:val="00473E98"/>
    <w:rsid w:val="00475A70"/>
    <w:rsid w:val="00476308"/>
    <w:rsid w:val="004766D8"/>
    <w:rsid w:val="00476DCE"/>
    <w:rsid w:val="004770F3"/>
    <w:rsid w:val="00477743"/>
    <w:rsid w:val="00477B63"/>
    <w:rsid w:val="00480E3C"/>
    <w:rsid w:val="00481A2B"/>
    <w:rsid w:val="00482D77"/>
    <w:rsid w:val="00483557"/>
    <w:rsid w:val="0048457D"/>
    <w:rsid w:val="0048468A"/>
    <w:rsid w:val="004846EF"/>
    <w:rsid w:val="00484B5B"/>
    <w:rsid w:val="00484F3E"/>
    <w:rsid w:val="00485404"/>
    <w:rsid w:val="00485548"/>
    <w:rsid w:val="004856AE"/>
    <w:rsid w:val="00486477"/>
    <w:rsid w:val="0048670C"/>
    <w:rsid w:val="004904DC"/>
    <w:rsid w:val="00491603"/>
    <w:rsid w:val="00491FE3"/>
    <w:rsid w:val="00492A4E"/>
    <w:rsid w:val="00492B94"/>
    <w:rsid w:val="00494087"/>
    <w:rsid w:val="0049481A"/>
    <w:rsid w:val="004963EA"/>
    <w:rsid w:val="004968BF"/>
    <w:rsid w:val="0049743E"/>
    <w:rsid w:val="004A02C2"/>
    <w:rsid w:val="004A04C2"/>
    <w:rsid w:val="004A3715"/>
    <w:rsid w:val="004A3D7A"/>
    <w:rsid w:val="004A4E65"/>
    <w:rsid w:val="004A5248"/>
    <w:rsid w:val="004A69C7"/>
    <w:rsid w:val="004A7783"/>
    <w:rsid w:val="004B021B"/>
    <w:rsid w:val="004B07F5"/>
    <w:rsid w:val="004B15BC"/>
    <w:rsid w:val="004B1CFB"/>
    <w:rsid w:val="004B28E1"/>
    <w:rsid w:val="004B290C"/>
    <w:rsid w:val="004B2EA7"/>
    <w:rsid w:val="004B3A0A"/>
    <w:rsid w:val="004B3EA6"/>
    <w:rsid w:val="004B3FA7"/>
    <w:rsid w:val="004B438F"/>
    <w:rsid w:val="004B6E5C"/>
    <w:rsid w:val="004B7103"/>
    <w:rsid w:val="004B78B0"/>
    <w:rsid w:val="004B78F7"/>
    <w:rsid w:val="004B7A11"/>
    <w:rsid w:val="004C1607"/>
    <w:rsid w:val="004C1E4A"/>
    <w:rsid w:val="004C365A"/>
    <w:rsid w:val="004C50AB"/>
    <w:rsid w:val="004C6D24"/>
    <w:rsid w:val="004C73DB"/>
    <w:rsid w:val="004C7B98"/>
    <w:rsid w:val="004D1093"/>
    <w:rsid w:val="004D19C6"/>
    <w:rsid w:val="004D2105"/>
    <w:rsid w:val="004D35FF"/>
    <w:rsid w:val="004D36BF"/>
    <w:rsid w:val="004D38F3"/>
    <w:rsid w:val="004D5DDA"/>
    <w:rsid w:val="004D6892"/>
    <w:rsid w:val="004D6C1A"/>
    <w:rsid w:val="004D6DD6"/>
    <w:rsid w:val="004D7E83"/>
    <w:rsid w:val="004E0A48"/>
    <w:rsid w:val="004E0B74"/>
    <w:rsid w:val="004E3008"/>
    <w:rsid w:val="004E3375"/>
    <w:rsid w:val="004E36DE"/>
    <w:rsid w:val="004E7424"/>
    <w:rsid w:val="004F00C6"/>
    <w:rsid w:val="004F1146"/>
    <w:rsid w:val="004F11C2"/>
    <w:rsid w:val="004F20D3"/>
    <w:rsid w:val="004F21C5"/>
    <w:rsid w:val="004F3721"/>
    <w:rsid w:val="004F472D"/>
    <w:rsid w:val="004F48D3"/>
    <w:rsid w:val="004F61F7"/>
    <w:rsid w:val="004F6660"/>
    <w:rsid w:val="004F745F"/>
    <w:rsid w:val="004F749F"/>
    <w:rsid w:val="004F764C"/>
    <w:rsid w:val="0050076B"/>
    <w:rsid w:val="00501AC5"/>
    <w:rsid w:val="00503D88"/>
    <w:rsid w:val="00503F1E"/>
    <w:rsid w:val="005046FB"/>
    <w:rsid w:val="00504A11"/>
    <w:rsid w:val="00506127"/>
    <w:rsid w:val="00506F37"/>
    <w:rsid w:val="0050781C"/>
    <w:rsid w:val="0051121C"/>
    <w:rsid w:val="00511B68"/>
    <w:rsid w:val="00511B8E"/>
    <w:rsid w:val="00512AF1"/>
    <w:rsid w:val="00513C46"/>
    <w:rsid w:val="0051508A"/>
    <w:rsid w:val="00515FA1"/>
    <w:rsid w:val="00516D62"/>
    <w:rsid w:val="00517422"/>
    <w:rsid w:val="00517A50"/>
    <w:rsid w:val="0052021D"/>
    <w:rsid w:val="00520238"/>
    <w:rsid w:val="00521CAA"/>
    <w:rsid w:val="00522A89"/>
    <w:rsid w:val="00522C00"/>
    <w:rsid w:val="00524BCA"/>
    <w:rsid w:val="00525C37"/>
    <w:rsid w:val="00526A5E"/>
    <w:rsid w:val="00527D50"/>
    <w:rsid w:val="00527F9E"/>
    <w:rsid w:val="00527FBB"/>
    <w:rsid w:val="0053150B"/>
    <w:rsid w:val="00534BF9"/>
    <w:rsid w:val="005350CC"/>
    <w:rsid w:val="00536D6C"/>
    <w:rsid w:val="00536EFA"/>
    <w:rsid w:val="0053750E"/>
    <w:rsid w:val="00537AF8"/>
    <w:rsid w:val="00540B63"/>
    <w:rsid w:val="00540FA4"/>
    <w:rsid w:val="005415E6"/>
    <w:rsid w:val="0054384E"/>
    <w:rsid w:val="00544A57"/>
    <w:rsid w:val="00545879"/>
    <w:rsid w:val="00545C78"/>
    <w:rsid w:val="00546272"/>
    <w:rsid w:val="005467DE"/>
    <w:rsid w:val="005479F3"/>
    <w:rsid w:val="00547B14"/>
    <w:rsid w:val="0055171D"/>
    <w:rsid w:val="00553678"/>
    <w:rsid w:val="005552D2"/>
    <w:rsid w:val="0055559B"/>
    <w:rsid w:val="00556076"/>
    <w:rsid w:val="00557A69"/>
    <w:rsid w:val="005611BB"/>
    <w:rsid w:val="005618BE"/>
    <w:rsid w:val="00562F80"/>
    <w:rsid w:val="00563476"/>
    <w:rsid w:val="005634A7"/>
    <w:rsid w:val="00563B29"/>
    <w:rsid w:val="00566F43"/>
    <w:rsid w:val="00572232"/>
    <w:rsid w:val="00573D83"/>
    <w:rsid w:val="005740BC"/>
    <w:rsid w:val="00576AA3"/>
    <w:rsid w:val="00576BFD"/>
    <w:rsid w:val="00577772"/>
    <w:rsid w:val="00577EFE"/>
    <w:rsid w:val="005800AF"/>
    <w:rsid w:val="005805AC"/>
    <w:rsid w:val="00580F45"/>
    <w:rsid w:val="005848E1"/>
    <w:rsid w:val="005849F2"/>
    <w:rsid w:val="00584F97"/>
    <w:rsid w:val="00585FF8"/>
    <w:rsid w:val="0058632F"/>
    <w:rsid w:val="00587034"/>
    <w:rsid w:val="00590B50"/>
    <w:rsid w:val="0059227F"/>
    <w:rsid w:val="00594B5E"/>
    <w:rsid w:val="00595B1B"/>
    <w:rsid w:val="00596119"/>
    <w:rsid w:val="00596761"/>
    <w:rsid w:val="00596A18"/>
    <w:rsid w:val="005A0CCB"/>
    <w:rsid w:val="005A276E"/>
    <w:rsid w:val="005A3834"/>
    <w:rsid w:val="005A4D4C"/>
    <w:rsid w:val="005A4EC3"/>
    <w:rsid w:val="005A5B11"/>
    <w:rsid w:val="005A617D"/>
    <w:rsid w:val="005A643A"/>
    <w:rsid w:val="005B1241"/>
    <w:rsid w:val="005B12A1"/>
    <w:rsid w:val="005B1CB1"/>
    <w:rsid w:val="005B240D"/>
    <w:rsid w:val="005B30A5"/>
    <w:rsid w:val="005B3456"/>
    <w:rsid w:val="005B35E9"/>
    <w:rsid w:val="005B37D4"/>
    <w:rsid w:val="005B3AF6"/>
    <w:rsid w:val="005B487C"/>
    <w:rsid w:val="005B4895"/>
    <w:rsid w:val="005B5D75"/>
    <w:rsid w:val="005B6AAE"/>
    <w:rsid w:val="005B7563"/>
    <w:rsid w:val="005C1380"/>
    <w:rsid w:val="005C1C2D"/>
    <w:rsid w:val="005C25CC"/>
    <w:rsid w:val="005C2E39"/>
    <w:rsid w:val="005C2FFE"/>
    <w:rsid w:val="005C32E6"/>
    <w:rsid w:val="005C3F15"/>
    <w:rsid w:val="005C47C1"/>
    <w:rsid w:val="005C4852"/>
    <w:rsid w:val="005C5210"/>
    <w:rsid w:val="005C582D"/>
    <w:rsid w:val="005C5A92"/>
    <w:rsid w:val="005C5DF7"/>
    <w:rsid w:val="005C60AF"/>
    <w:rsid w:val="005C77D9"/>
    <w:rsid w:val="005C7A62"/>
    <w:rsid w:val="005D1A66"/>
    <w:rsid w:val="005D2371"/>
    <w:rsid w:val="005D2D6D"/>
    <w:rsid w:val="005D32C4"/>
    <w:rsid w:val="005D3695"/>
    <w:rsid w:val="005D3D38"/>
    <w:rsid w:val="005D4EED"/>
    <w:rsid w:val="005D55BA"/>
    <w:rsid w:val="005D5CC7"/>
    <w:rsid w:val="005D71D8"/>
    <w:rsid w:val="005D7545"/>
    <w:rsid w:val="005D78FC"/>
    <w:rsid w:val="005E07CA"/>
    <w:rsid w:val="005E0B29"/>
    <w:rsid w:val="005E16B2"/>
    <w:rsid w:val="005E1B6C"/>
    <w:rsid w:val="005E1FC7"/>
    <w:rsid w:val="005E2C99"/>
    <w:rsid w:val="005E2E30"/>
    <w:rsid w:val="005E3285"/>
    <w:rsid w:val="005E34AE"/>
    <w:rsid w:val="005E371A"/>
    <w:rsid w:val="005E3806"/>
    <w:rsid w:val="005E386D"/>
    <w:rsid w:val="005E3CC0"/>
    <w:rsid w:val="005E476D"/>
    <w:rsid w:val="005E4F2A"/>
    <w:rsid w:val="005E505A"/>
    <w:rsid w:val="005E743D"/>
    <w:rsid w:val="005E7967"/>
    <w:rsid w:val="005E79E4"/>
    <w:rsid w:val="005F0A0A"/>
    <w:rsid w:val="005F2C96"/>
    <w:rsid w:val="005F2FA8"/>
    <w:rsid w:val="005F319C"/>
    <w:rsid w:val="005F4ECD"/>
    <w:rsid w:val="005F523A"/>
    <w:rsid w:val="005F5FBE"/>
    <w:rsid w:val="005F62B7"/>
    <w:rsid w:val="006000EE"/>
    <w:rsid w:val="00600E47"/>
    <w:rsid w:val="00601237"/>
    <w:rsid w:val="00602B2B"/>
    <w:rsid w:val="00602FF3"/>
    <w:rsid w:val="006030EA"/>
    <w:rsid w:val="006040E2"/>
    <w:rsid w:val="006048BE"/>
    <w:rsid w:val="0060586A"/>
    <w:rsid w:val="00605C59"/>
    <w:rsid w:val="00605F74"/>
    <w:rsid w:val="00606D7D"/>
    <w:rsid w:val="0060705D"/>
    <w:rsid w:val="00607DFA"/>
    <w:rsid w:val="00610B89"/>
    <w:rsid w:val="00612B0C"/>
    <w:rsid w:val="006157C7"/>
    <w:rsid w:val="00615D60"/>
    <w:rsid w:val="006167CD"/>
    <w:rsid w:val="00616AC9"/>
    <w:rsid w:val="0061745E"/>
    <w:rsid w:val="00622446"/>
    <w:rsid w:val="006228B0"/>
    <w:rsid w:val="00625C18"/>
    <w:rsid w:val="00625CB6"/>
    <w:rsid w:val="00626A01"/>
    <w:rsid w:val="00626DB3"/>
    <w:rsid w:val="00627119"/>
    <w:rsid w:val="0063190D"/>
    <w:rsid w:val="006319B1"/>
    <w:rsid w:val="00631CF5"/>
    <w:rsid w:val="00632E80"/>
    <w:rsid w:val="006331C7"/>
    <w:rsid w:val="006335F7"/>
    <w:rsid w:val="00634C3E"/>
    <w:rsid w:val="006356C8"/>
    <w:rsid w:val="006363C3"/>
    <w:rsid w:val="006376D2"/>
    <w:rsid w:val="006379C4"/>
    <w:rsid w:val="006400BB"/>
    <w:rsid w:val="00640A68"/>
    <w:rsid w:val="00642E98"/>
    <w:rsid w:val="00645112"/>
    <w:rsid w:val="0064670A"/>
    <w:rsid w:val="00647881"/>
    <w:rsid w:val="00647F01"/>
    <w:rsid w:val="006507B7"/>
    <w:rsid w:val="00650FFE"/>
    <w:rsid w:val="00651E1A"/>
    <w:rsid w:val="0065224D"/>
    <w:rsid w:val="00652759"/>
    <w:rsid w:val="00654D92"/>
    <w:rsid w:val="00655DCD"/>
    <w:rsid w:val="006563B8"/>
    <w:rsid w:val="00657E2A"/>
    <w:rsid w:val="00657E82"/>
    <w:rsid w:val="00657F1C"/>
    <w:rsid w:val="00660475"/>
    <w:rsid w:val="00660684"/>
    <w:rsid w:val="006608A5"/>
    <w:rsid w:val="00661100"/>
    <w:rsid w:val="00664104"/>
    <w:rsid w:val="006644C0"/>
    <w:rsid w:val="00664C83"/>
    <w:rsid w:val="00665424"/>
    <w:rsid w:val="006658A6"/>
    <w:rsid w:val="0066714F"/>
    <w:rsid w:val="006673D0"/>
    <w:rsid w:val="006677E0"/>
    <w:rsid w:val="006677F4"/>
    <w:rsid w:val="006701B7"/>
    <w:rsid w:val="006705B2"/>
    <w:rsid w:val="006708E6"/>
    <w:rsid w:val="00671B0C"/>
    <w:rsid w:val="00671CCE"/>
    <w:rsid w:val="00671EF7"/>
    <w:rsid w:val="00673066"/>
    <w:rsid w:val="00673509"/>
    <w:rsid w:val="00673D0D"/>
    <w:rsid w:val="0067441E"/>
    <w:rsid w:val="00676065"/>
    <w:rsid w:val="00676242"/>
    <w:rsid w:val="00680768"/>
    <w:rsid w:val="0068180F"/>
    <w:rsid w:val="00682001"/>
    <w:rsid w:val="00682B74"/>
    <w:rsid w:val="00683664"/>
    <w:rsid w:val="00683FB1"/>
    <w:rsid w:val="0068472F"/>
    <w:rsid w:val="00687237"/>
    <w:rsid w:val="006876F2"/>
    <w:rsid w:val="00691358"/>
    <w:rsid w:val="00691429"/>
    <w:rsid w:val="00691D2D"/>
    <w:rsid w:val="00692356"/>
    <w:rsid w:val="00693370"/>
    <w:rsid w:val="00693D9B"/>
    <w:rsid w:val="00693DF2"/>
    <w:rsid w:val="006945F5"/>
    <w:rsid w:val="00694773"/>
    <w:rsid w:val="006963CA"/>
    <w:rsid w:val="006965E9"/>
    <w:rsid w:val="00697701"/>
    <w:rsid w:val="006977DE"/>
    <w:rsid w:val="006A022E"/>
    <w:rsid w:val="006A032A"/>
    <w:rsid w:val="006A03CC"/>
    <w:rsid w:val="006A04A1"/>
    <w:rsid w:val="006A1491"/>
    <w:rsid w:val="006A3C01"/>
    <w:rsid w:val="006A49CB"/>
    <w:rsid w:val="006A4EEB"/>
    <w:rsid w:val="006A51FC"/>
    <w:rsid w:val="006A5BE7"/>
    <w:rsid w:val="006A6874"/>
    <w:rsid w:val="006A6C86"/>
    <w:rsid w:val="006B0925"/>
    <w:rsid w:val="006B328D"/>
    <w:rsid w:val="006B3C10"/>
    <w:rsid w:val="006C2893"/>
    <w:rsid w:val="006C4D54"/>
    <w:rsid w:val="006C606C"/>
    <w:rsid w:val="006C62A9"/>
    <w:rsid w:val="006C7A87"/>
    <w:rsid w:val="006C7BE7"/>
    <w:rsid w:val="006C7D41"/>
    <w:rsid w:val="006D0E0B"/>
    <w:rsid w:val="006D1AF6"/>
    <w:rsid w:val="006D1F28"/>
    <w:rsid w:val="006D2380"/>
    <w:rsid w:val="006D28BD"/>
    <w:rsid w:val="006D2F10"/>
    <w:rsid w:val="006D46FD"/>
    <w:rsid w:val="006D5C57"/>
    <w:rsid w:val="006D6645"/>
    <w:rsid w:val="006D7F65"/>
    <w:rsid w:val="006E0C13"/>
    <w:rsid w:val="006E1EBD"/>
    <w:rsid w:val="006E1F53"/>
    <w:rsid w:val="006E28A6"/>
    <w:rsid w:val="006E3214"/>
    <w:rsid w:val="006E51B2"/>
    <w:rsid w:val="006E61D1"/>
    <w:rsid w:val="006E7A5A"/>
    <w:rsid w:val="006F10D6"/>
    <w:rsid w:val="006F2072"/>
    <w:rsid w:val="006F25B9"/>
    <w:rsid w:val="006F381C"/>
    <w:rsid w:val="006F55AB"/>
    <w:rsid w:val="006F6145"/>
    <w:rsid w:val="006F6509"/>
    <w:rsid w:val="006F6989"/>
    <w:rsid w:val="006F7829"/>
    <w:rsid w:val="006F7840"/>
    <w:rsid w:val="00700942"/>
    <w:rsid w:val="00701E0D"/>
    <w:rsid w:val="007028D8"/>
    <w:rsid w:val="007050E3"/>
    <w:rsid w:val="00705759"/>
    <w:rsid w:val="00705E1A"/>
    <w:rsid w:val="007063C5"/>
    <w:rsid w:val="007066EC"/>
    <w:rsid w:val="00706B95"/>
    <w:rsid w:val="00707D5A"/>
    <w:rsid w:val="007125CA"/>
    <w:rsid w:val="007127D7"/>
    <w:rsid w:val="007137BC"/>
    <w:rsid w:val="00714378"/>
    <w:rsid w:val="00714B21"/>
    <w:rsid w:val="007151C3"/>
    <w:rsid w:val="00715AB9"/>
    <w:rsid w:val="007161BD"/>
    <w:rsid w:val="00722304"/>
    <w:rsid w:val="007228D4"/>
    <w:rsid w:val="007246DB"/>
    <w:rsid w:val="00724783"/>
    <w:rsid w:val="007249B1"/>
    <w:rsid w:val="007269D8"/>
    <w:rsid w:val="00726CC5"/>
    <w:rsid w:val="00727853"/>
    <w:rsid w:val="00727C37"/>
    <w:rsid w:val="007301A3"/>
    <w:rsid w:val="007301FA"/>
    <w:rsid w:val="00730CA3"/>
    <w:rsid w:val="00731737"/>
    <w:rsid w:val="007331D1"/>
    <w:rsid w:val="007334CA"/>
    <w:rsid w:val="00735186"/>
    <w:rsid w:val="007356C1"/>
    <w:rsid w:val="00735863"/>
    <w:rsid w:val="00737409"/>
    <w:rsid w:val="00740396"/>
    <w:rsid w:val="0074062A"/>
    <w:rsid w:val="0074148A"/>
    <w:rsid w:val="00742114"/>
    <w:rsid w:val="0074250C"/>
    <w:rsid w:val="0074252B"/>
    <w:rsid w:val="00742C71"/>
    <w:rsid w:val="00743A05"/>
    <w:rsid w:val="007447DD"/>
    <w:rsid w:val="00746872"/>
    <w:rsid w:val="00747401"/>
    <w:rsid w:val="00750F58"/>
    <w:rsid w:val="00751AC5"/>
    <w:rsid w:val="00752C48"/>
    <w:rsid w:val="00754041"/>
    <w:rsid w:val="0075439E"/>
    <w:rsid w:val="00754605"/>
    <w:rsid w:val="0075497B"/>
    <w:rsid w:val="00754F63"/>
    <w:rsid w:val="00756A1C"/>
    <w:rsid w:val="0075710B"/>
    <w:rsid w:val="0075722E"/>
    <w:rsid w:val="00760013"/>
    <w:rsid w:val="0076121E"/>
    <w:rsid w:val="00761255"/>
    <w:rsid w:val="007627CB"/>
    <w:rsid w:val="007636E5"/>
    <w:rsid w:val="00763BA3"/>
    <w:rsid w:val="007641D4"/>
    <w:rsid w:val="00764E7F"/>
    <w:rsid w:val="00765FF1"/>
    <w:rsid w:val="007663A3"/>
    <w:rsid w:val="00766C07"/>
    <w:rsid w:val="00767783"/>
    <w:rsid w:val="007705BF"/>
    <w:rsid w:val="00771090"/>
    <w:rsid w:val="00772003"/>
    <w:rsid w:val="00772EBB"/>
    <w:rsid w:val="00773A7A"/>
    <w:rsid w:val="00773AF0"/>
    <w:rsid w:val="00773F54"/>
    <w:rsid w:val="00775D45"/>
    <w:rsid w:val="00777B71"/>
    <w:rsid w:val="007814A7"/>
    <w:rsid w:val="007815B5"/>
    <w:rsid w:val="007815C7"/>
    <w:rsid w:val="00782834"/>
    <w:rsid w:val="007835A0"/>
    <w:rsid w:val="00784DFC"/>
    <w:rsid w:val="00785431"/>
    <w:rsid w:val="007857E7"/>
    <w:rsid w:val="00787481"/>
    <w:rsid w:val="00790089"/>
    <w:rsid w:val="00791191"/>
    <w:rsid w:val="00791C88"/>
    <w:rsid w:val="007925CD"/>
    <w:rsid w:val="00792677"/>
    <w:rsid w:val="00793399"/>
    <w:rsid w:val="0079461B"/>
    <w:rsid w:val="00795365"/>
    <w:rsid w:val="007957DD"/>
    <w:rsid w:val="00796EBC"/>
    <w:rsid w:val="0079718A"/>
    <w:rsid w:val="00797FFB"/>
    <w:rsid w:val="007A164E"/>
    <w:rsid w:val="007A3719"/>
    <w:rsid w:val="007A3ED8"/>
    <w:rsid w:val="007A3F32"/>
    <w:rsid w:val="007A5544"/>
    <w:rsid w:val="007A601B"/>
    <w:rsid w:val="007A68D0"/>
    <w:rsid w:val="007A7BC3"/>
    <w:rsid w:val="007B16DD"/>
    <w:rsid w:val="007B4A85"/>
    <w:rsid w:val="007B4C48"/>
    <w:rsid w:val="007B5FFD"/>
    <w:rsid w:val="007B68E5"/>
    <w:rsid w:val="007B6D23"/>
    <w:rsid w:val="007B70A8"/>
    <w:rsid w:val="007C00D1"/>
    <w:rsid w:val="007C1A4F"/>
    <w:rsid w:val="007C1A8A"/>
    <w:rsid w:val="007C1AED"/>
    <w:rsid w:val="007C23B6"/>
    <w:rsid w:val="007C24DC"/>
    <w:rsid w:val="007C2539"/>
    <w:rsid w:val="007C280A"/>
    <w:rsid w:val="007C282D"/>
    <w:rsid w:val="007C2A79"/>
    <w:rsid w:val="007C33E2"/>
    <w:rsid w:val="007C37B9"/>
    <w:rsid w:val="007C5BBD"/>
    <w:rsid w:val="007C6242"/>
    <w:rsid w:val="007C74D9"/>
    <w:rsid w:val="007C7B1F"/>
    <w:rsid w:val="007C7C67"/>
    <w:rsid w:val="007D0090"/>
    <w:rsid w:val="007D0841"/>
    <w:rsid w:val="007D2974"/>
    <w:rsid w:val="007D3713"/>
    <w:rsid w:val="007D4607"/>
    <w:rsid w:val="007D66CB"/>
    <w:rsid w:val="007D721B"/>
    <w:rsid w:val="007E0050"/>
    <w:rsid w:val="007E0798"/>
    <w:rsid w:val="007E1004"/>
    <w:rsid w:val="007E15E0"/>
    <w:rsid w:val="007E1A11"/>
    <w:rsid w:val="007E2C51"/>
    <w:rsid w:val="007E3914"/>
    <w:rsid w:val="007E3C22"/>
    <w:rsid w:val="007E4556"/>
    <w:rsid w:val="007E458D"/>
    <w:rsid w:val="007E495E"/>
    <w:rsid w:val="007E5A95"/>
    <w:rsid w:val="007E624D"/>
    <w:rsid w:val="007E6D33"/>
    <w:rsid w:val="007E6F4B"/>
    <w:rsid w:val="007F0AB8"/>
    <w:rsid w:val="007F1012"/>
    <w:rsid w:val="007F45BB"/>
    <w:rsid w:val="007F5363"/>
    <w:rsid w:val="007F5565"/>
    <w:rsid w:val="007F55B7"/>
    <w:rsid w:val="007F6699"/>
    <w:rsid w:val="00801813"/>
    <w:rsid w:val="00803A81"/>
    <w:rsid w:val="00803BB1"/>
    <w:rsid w:val="00805AE4"/>
    <w:rsid w:val="00806839"/>
    <w:rsid w:val="00807ED1"/>
    <w:rsid w:val="00814512"/>
    <w:rsid w:val="00814548"/>
    <w:rsid w:val="00814E84"/>
    <w:rsid w:val="00816833"/>
    <w:rsid w:val="00816AD4"/>
    <w:rsid w:val="00816BBC"/>
    <w:rsid w:val="00816F5E"/>
    <w:rsid w:val="00823440"/>
    <w:rsid w:val="00823FEC"/>
    <w:rsid w:val="00827553"/>
    <w:rsid w:val="00827D53"/>
    <w:rsid w:val="008300B9"/>
    <w:rsid w:val="00830669"/>
    <w:rsid w:val="008323DD"/>
    <w:rsid w:val="008326B4"/>
    <w:rsid w:val="00833156"/>
    <w:rsid w:val="00833477"/>
    <w:rsid w:val="00834223"/>
    <w:rsid w:val="00834581"/>
    <w:rsid w:val="00835E95"/>
    <w:rsid w:val="00836130"/>
    <w:rsid w:val="00842B01"/>
    <w:rsid w:val="00844651"/>
    <w:rsid w:val="008453E7"/>
    <w:rsid w:val="00845D53"/>
    <w:rsid w:val="00846ACF"/>
    <w:rsid w:val="00846CF7"/>
    <w:rsid w:val="00847137"/>
    <w:rsid w:val="00847873"/>
    <w:rsid w:val="00847FDE"/>
    <w:rsid w:val="00850924"/>
    <w:rsid w:val="00850EF2"/>
    <w:rsid w:val="00854577"/>
    <w:rsid w:val="008545F9"/>
    <w:rsid w:val="008549D4"/>
    <w:rsid w:val="008552BC"/>
    <w:rsid w:val="0085550A"/>
    <w:rsid w:val="008573E3"/>
    <w:rsid w:val="00857D39"/>
    <w:rsid w:val="0086000D"/>
    <w:rsid w:val="008614F3"/>
    <w:rsid w:val="0086161D"/>
    <w:rsid w:val="00861F53"/>
    <w:rsid w:val="00862692"/>
    <w:rsid w:val="008635E7"/>
    <w:rsid w:val="008641FA"/>
    <w:rsid w:val="00866F46"/>
    <w:rsid w:val="008673B4"/>
    <w:rsid w:val="00867C98"/>
    <w:rsid w:val="00867E94"/>
    <w:rsid w:val="00870B44"/>
    <w:rsid w:val="008714A0"/>
    <w:rsid w:val="00871724"/>
    <w:rsid w:val="00872CF9"/>
    <w:rsid w:val="00872FBE"/>
    <w:rsid w:val="0087357C"/>
    <w:rsid w:val="0087378C"/>
    <w:rsid w:val="00874395"/>
    <w:rsid w:val="00874D3E"/>
    <w:rsid w:val="00874EE8"/>
    <w:rsid w:val="008762E2"/>
    <w:rsid w:val="008770A3"/>
    <w:rsid w:val="00877F90"/>
    <w:rsid w:val="008809BA"/>
    <w:rsid w:val="00881996"/>
    <w:rsid w:val="00881A4A"/>
    <w:rsid w:val="00881C6F"/>
    <w:rsid w:val="00881E66"/>
    <w:rsid w:val="0088348C"/>
    <w:rsid w:val="00884B9B"/>
    <w:rsid w:val="008850C7"/>
    <w:rsid w:val="00886D63"/>
    <w:rsid w:val="008876A9"/>
    <w:rsid w:val="00890D33"/>
    <w:rsid w:val="00891AE6"/>
    <w:rsid w:val="00892299"/>
    <w:rsid w:val="00892608"/>
    <w:rsid w:val="008933BB"/>
    <w:rsid w:val="00893620"/>
    <w:rsid w:val="00893AEE"/>
    <w:rsid w:val="00894604"/>
    <w:rsid w:val="008966F1"/>
    <w:rsid w:val="008976AB"/>
    <w:rsid w:val="008A0AA8"/>
    <w:rsid w:val="008A0D49"/>
    <w:rsid w:val="008A2084"/>
    <w:rsid w:val="008A7656"/>
    <w:rsid w:val="008B07C7"/>
    <w:rsid w:val="008B1A74"/>
    <w:rsid w:val="008B2C44"/>
    <w:rsid w:val="008B5439"/>
    <w:rsid w:val="008C04CA"/>
    <w:rsid w:val="008C0E92"/>
    <w:rsid w:val="008C1354"/>
    <w:rsid w:val="008C2DFD"/>
    <w:rsid w:val="008C4173"/>
    <w:rsid w:val="008C4E07"/>
    <w:rsid w:val="008C6E70"/>
    <w:rsid w:val="008C7010"/>
    <w:rsid w:val="008D08C3"/>
    <w:rsid w:val="008D1970"/>
    <w:rsid w:val="008D1B7B"/>
    <w:rsid w:val="008D393C"/>
    <w:rsid w:val="008D3EC3"/>
    <w:rsid w:val="008D445B"/>
    <w:rsid w:val="008D6896"/>
    <w:rsid w:val="008E1E3A"/>
    <w:rsid w:val="008E1F6C"/>
    <w:rsid w:val="008E2344"/>
    <w:rsid w:val="008E2942"/>
    <w:rsid w:val="008E4EE3"/>
    <w:rsid w:val="008E5147"/>
    <w:rsid w:val="008E7D19"/>
    <w:rsid w:val="008E7E32"/>
    <w:rsid w:val="008F206D"/>
    <w:rsid w:val="008F4A2D"/>
    <w:rsid w:val="008F6BCD"/>
    <w:rsid w:val="008F6CE6"/>
    <w:rsid w:val="008F7E52"/>
    <w:rsid w:val="00901422"/>
    <w:rsid w:val="0090285B"/>
    <w:rsid w:val="009029F3"/>
    <w:rsid w:val="00904E24"/>
    <w:rsid w:val="00906A8F"/>
    <w:rsid w:val="00906E00"/>
    <w:rsid w:val="00907A1E"/>
    <w:rsid w:val="00910194"/>
    <w:rsid w:val="009103AE"/>
    <w:rsid w:val="00910962"/>
    <w:rsid w:val="00910D62"/>
    <w:rsid w:val="0091100B"/>
    <w:rsid w:val="0091134F"/>
    <w:rsid w:val="009117AF"/>
    <w:rsid w:val="00911A82"/>
    <w:rsid w:val="009129DC"/>
    <w:rsid w:val="0091378E"/>
    <w:rsid w:val="009144AB"/>
    <w:rsid w:val="00914B45"/>
    <w:rsid w:val="00915747"/>
    <w:rsid w:val="009179ED"/>
    <w:rsid w:val="00920F1B"/>
    <w:rsid w:val="009215B4"/>
    <w:rsid w:val="00922B45"/>
    <w:rsid w:val="00922BA5"/>
    <w:rsid w:val="00923722"/>
    <w:rsid w:val="00923FE5"/>
    <w:rsid w:val="00924A85"/>
    <w:rsid w:val="009257A1"/>
    <w:rsid w:val="0092580F"/>
    <w:rsid w:val="00925A42"/>
    <w:rsid w:val="00925B38"/>
    <w:rsid w:val="00926372"/>
    <w:rsid w:val="00926729"/>
    <w:rsid w:val="00926B5C"/>
    <w:rsid w:val="00927263"/>
    <w:rsid w:val="009329C6"/>
    <w:rsid w:val="00934F92"/>
    <w:rsid w:val="0093575D"/>
    <w:rsid w:val="00935F3F"/>
    <w:rsid w:val="0094277B"/>
    <w:rsid w:val="00942F06"/>
    <w:rsid w:val="00943D29"/>
    <w:rsid w:val="00946305"/>
    <w:rsid w:val="009466A4"/>
    <w:rsid w:val="009472A3"/>
    <w:rsid w:val="009472ED"/>
    <w:rsid w:val="00947677"/>
    <w:rsid w:val="00950CAC"/>
    <w:rsid w:val="00950F6A"/>
    <w:rsid w:val="009513EF"/>
    <w:rsid w:val="00951A57"/>
    <w:rsid w:val="00951C91"/>
    <w:rsid w:val="009523BD"/>
    <w:rsid w:val="00953356"/>
    <w:rsid w:val="00953A23"/>
    <w:rsid w:val="00955453"/>
    <w:rsid w:val="0095597D"/>
    <w:rsid w:val="00956A5B"/>
    <w:rsid w:val="00957088"/>
    <w:rsid w:val="00957669"/>
    <w:rsid w:val="00960D7F"/>
    <w:rsid w:val="00962000"/>
    <w:rsid w:val="00962B7E"/>
    <w:rsid w:val="00963B86"/>
    <w:rsid w:val="00965616"/>
    <w:rsid w:val="00970288"/>
    <w:rsid w:val="00970D0B"/>
    <w:rsid w:val="009719BE"/>
    <w:rsid w:val="0097304F"/>
    <w:rsid w:val="009735FA"/>
    <w:rsid w:val="00973918"/>
    <w:rsid w:val="0097461F"/>
    <w:rsid w:val="00974AF9"/>
    <w:rsid w:val="00974B4D"/>
    <w:rsid w:val="009757E2"/>
    <w:rsid w:val="00975BD9"/>
    <w:rsid w:val="00975C76"/>
    <w:rsid w:val="00977BE4"/>
    <w:rsid w:val="00981667"/>
    <w:rsid w:val="00982909"/>
    <w:rsid w:val="00982BA3"/>
    <w:rsid w:val="00983467"/>
    <w:rsid w:val="00984EA3"/>
    <w:rsid w:val="0098524B"/>
    <w:rsid w:val="009908E8"/>
    <w:rsid w:val="0099100C"/>
    <w:rsid w:val="009916BC"/>
    <w:rsid w:val="00991AEA"/>
    <w:rsid w:val="0099218D"/>
    <w:rsid w:val="0099429E"/>
    <w:rsid w:val="00996F9A"/>
    <w:rsid w:val="009A0B4D"/>
    <w:rsid w:val="009A2DBE"/>
    <w:rsid w:val="009A4183"/>
    <w:rsid w:val="009B1157"/>
    <w:rsid w:val="009B124C"/>
    <w:rsid w:val="009B1ED1"/>
    <w:rsid w:val="009B21C2"/>
    <w:rsid w:val="009B2810"/>
    <w:rsid w:val="009B39D1"/>
    <w:rsid w:val="009B4054"/>
    <w:rsid w:val="009B573F"/>
    <w:rsid w:val="009B6170"/>
    <w:rsid w:val="009B6C49"/>
    <w:rsid w:val="009C04B2"/>
    <w:rsid w:val="009C66BB"/>
    <w:rsid w:val="009C7702"/>
    <w:rsid w:val="009D06E5"/>
    <w:rsid w:val="009D4568"/>
    <w:rsid w:val="009D5614"/>
    <w:rsid w:val="009D5FF3"/>
    <w:rsid w:val="009D79A1"/>
    <w:rsid w:val="009E1D5C"/>
    <w:rsid w:val="009E3D71"/>
    <w:rsid w:val="009E4C8F"/>
    <w:rsid w:val="009E62AA"/>
    <w:rsid w:val="009E6596"/>
    <w:rsid w:val="009E6A99"/>
    <w:rsid w:val="009E7AD2"/>
    <w:rsid w:val="009F0CAD"/>
    <w:rsid w:val="009F1457"/>
    <w:rsid w:val="009F1C52"/>
    <w:rsid w:val="009F2860"/>
    <w:rsid w:val="009F2F58"/>
    <w:rsid w:val="009F34C6"/>
    <w:rsid w:val="009F4665"/>
    <w:rsid w:val="009F5CEE"/>
    <w:rsid w:val="009F62AD"/>
    <w:rsid w:val="009F7BE4"/>
    <w:rsid w:val="009F7D8B"/>
    <w:rsid w:val="00A0092E"/>
    <w:rsid w:val="00A010E0"/>
    <w:rsid w:val="00A01F99"/>
    <w:rsid w:val="00A02B8D"/>
    <w:rsid w:val="00A0353C"/>
    <w:rsid w:val="00A0461B"/>
    <w:rsid w:val="00A04F89"/>
    <w:rsid w:val="00A0507F"/>
    <w:rsid w:val="00A055DB"/>
    <w:rsid w:val="00A056CB"/>
    <w:rsid w:val="00A07AAC"/>
    <w:rsid w:val="00A07C9D"/>
    <w:rsid w:val="00A11390"/>
    <w:rsid w:val="00A1190A"/>
    <w:rsid w:val="00A12B68"/>
    <w:rsid w:val="00A14592"/>
    <w:rsid w:val="00A17ECF"/>
    <w:rsid w:val="00A2090D"/>
    <w:rsid w:val="00A215D4"/>
    <w:rsid w:val="00A2381A"/>
    <w:rsid w:val="00A25381"/>
    <w:rsid w:val="00A25FE4"/>
    <w:rsid w:val="00A26A5F"/>
    <w:rsid w:val="00A270CE"/>
    <w:rsid w:val="00A307F5"/>
    <w:rsid w:val="00A3167A"/>
    <w:rsid w:val="00A31D8E"/>
    <w:rsid w:val="00A31E16"/>
    <w:rsid w:val="00A32EDF"/>
    <w:rsid w:val="00A33D59"/>
    <w:rsid w:val="00A340EE"/>
    <w:rsid w:val="00A34AEC"/>
    <w:rsid w:val="00A34B57"/>
    <w:rsid w:val="00A3624C"/>
    <w:rsid w:val="00A366A1"/>
    <w:rsid w:val="00A37847"/>
    <w:rsid w:val="00A378E7"/>
    <w:rsid w:val="00A4048F"/>
    <w:rsid w:val="00A4083F"/>
    <w:rsid w:val="00A412F6"/>
    <w:rsid w:val="00A413D1"/>
    <w:rsid w:val="00A41711"/>
    <w:rsid w:val="00A41FCF"/>
    <w:rsid w:val="00A42A21"/>
    <w:rsid w:val="00A42FFF"/>
    <w:rsid w:val="00A433A8"/>
    <w:rsid w:val="00A4376C"/>
    <w:rsid w:val="00A45298"/>
    <w:rsid w:val="00A45A8F"/>
    <w:rsid w:val="00A46800"/>
    <w:rsid w:val="00A50162"/>
    <w:rsid w:val="00A505F4"/>
    <w:rsid w:val="00A51372"/>
    <w:rsid w:val="00A51A4B"/>
    <w:rsid w:val="00A520A9"/>
    <w:rsid w:val="00A5212A"/>
    <w:rsid w:val="00A5378B"/>
    <w:rsid w:val="00A5460D"/>
    <w:rsid w:val="00A54CE1"/>
    <w:rsid w:val="00A565A4"/>
    <w:rsid w:val="00A56A4B"/>
    <w:rsid w:val="00A56BCF"/>
    <w:rsid w:val="00A61073"/>
    <w:rsid w:val="00A62257"/>
    <w:rsid w:val="00A63B72"/>
    <w:rsid w:val="00A640F0"/>
    <w:rsid w:val="00A65DE3"/>
    <w:rsid w:val="00A665ED"/>
    <w:rsid w:val="00A66CD5"/>
    <w:rsid w:val="00A67758"/>
    <w:rsid w:val="00A70C88"/>
    <w:rsid w:val="00A713C6"/>
    <w:rsid w:val="00A717FA"/>
    <w:rsid w:val="00A757A5"/>
    <w:rsid w:val="00A75BBC"/>
    <w:rsid w:val="00A802AA"/>
    <w:rsid w:val="00A80719"/>
    <w:rsid w:val="00A8180A"/>
    <w:rsid w:val="00A81B8B"/>
    <w:rsid w:val="00A8251D"/>
    <w:rsid w:val="00A83ECC"/>
    <w:rsid w:val="00A84F28"/>
    <w:rsid w:val="00A84FF1"/>
    <w:rsid w:val="00A850A0"/>
    <w:rsid w:val="00A86864"/>
    <w:rsid w:val="00A86D22"/>
    <w:rsid w:val="00A86E78"/>
    <w:rsid w:val="00A878C3"/>
    <w:rsid w:val="00A87BE1"/>
    <w:rsid w:val="00A903D6"/>
    <w:rsid w:val="00A904D1"/>
    <w:rsid w:val="00A91759"/>
    <w:rsid w:val="00A93073"/>
    <w:rsid w:val="00A94D9A"/>
    <w:rsid w:val="00A9518E"/>
    <w:rsid w:val="00A9563C"/>
    <w:rsid w:val="00A95705"/>
    <w:rsid w:val="00A96709"/>
    <w:rsid w:val="00A973B1"/>
    <w:rsid w:val="00AA050D"/>
    <w:rsid w:val="00AA4D08"/>
    <w:rsid w:val="00AA562D"/>
    <w:rsid w:val="00AA6AD8"/>
    <w:rsid w:val="00AA6B0C"/>
    <w:rsid w:val="00AA6D68"/>
    <w:rsid w:val="00AB11DD"/>
    <w:rsid w:val="00AB121E"/>
    <w:rsid w:val="00AB36C7"/>
    <w:rsid w:val="00AB3BDA"/>
    <w:rsid w:val="00AB5101"/>
    <w:rsid w:val="00AC0700"/>
    <w:rsid w:val="00AC197B"/>
    <w:rsid w:val="00AC1BFF"/>
    <w:rsid w:val="00AC1EAE"/>
    <w:rsid w:val="00AC432E"/>
    <w:rsid w:val="00AC5E5A"/>
    <w:rsid w:val="00AC60CF"/>
    <w:rsid w:val="00AC6FB6"/>
    <w:rsid w:val="00AC7585"/>
    <w:rsid w:val="00AD04C4"/>
    <w:rsid w:val="00AD0857"/>
    <w:rsid w:val="00AD0B19"/>
    <w:rsid w:val="00AD0EBE"/>
    <w:rsid w:val="00AD109E"/>
    <w:rsid w:val="00AD4068"/>
    <w:rsid w:val="00AD549D"/>
    <w:rsid w:val="00AD67FD"/>
    <w:rsid w:val="00AE03BF"/>
    <w:rsid w:val="00AE05CE"/>
    <w:rsid w:val="00AE0C27"/>
    <w:rsid w:val="00AE2C63"/>
    <w:rsid w:val="00AE32A8"/>
    <w:rsid w:val="00AE32B5"/>
    <w:rsid w:val="00AE370F"/>
    <w:rsid w:val="00AE3A6D"/>
    <w:rsid w:val="00AE68BA"/>
    <w:rsid w:val="00AF0AE1"/>
    <w:rsid w:val="00AF0B12"/>
    <w:rsid w:val="00AF1F0D"/>
    <w:rsid w:val="00AF1F96"/>
    <w:rsid w:val="00AF3E07"/>
    <w:rsid w:val="00AF4DB1"/>
    <w:rsid w:val="00AF5551"/>
    <w:rsid w:val="00AF5AB9"/>
    <w:rsid w:val="00AF5ACE"/>
    <w:rsid w:val="00AF68BC"/>
    <w:rsid w:val="00AF7572"/>
    <w:rsid w:val="00AF7C6E"/>
    <w:rsid w:val="00AF7E0C"/>
    <w:rsid w:val="00B00DF5"/>
    <w:rsid w:val="00B014FF"/>
    <w:rsid w:val="00B01E51"/>
    <w:rsid w:val="00B02E8C"/>
    <w:rsid w:val="00B02F2F"/>
    <w:rsid w:val="00B03104"/>
    <w:rsid w:val="00B032B9"/>
    <w:rsid w:val="00B03942"/>
    <w:rsid w:val="00B03FBE"/>
    <w:rsid w:val="00B06A7A"/>
    <w:rsid w:val="00B0774A"/>
    <w:rsid w:val="00B112F7"/>
    <w:rsid w:val="00B12055"/>
    <w:rsid w:val="00B1280C"/>
    <w:rsid w:val="00B14B6D"/>
    <w:rsid w:val="00B1588C"/>
    <w:rsid w:val="00B1648A"/>
    <w:rsid w:val="00B16B5E"/>
    <w:rsid w:val="00B16C9A"/>
    <w:rsid w:val="00B16CBE"/>
    <w:rsid w:val="00B16FBD"/>
    <w:rsid w:val="00B171AE"/>
    <w:rsid w:val="00B17585"/>
    <w:rsid w:val="00B17649"/>
    <w:rsid w:val="00B178B0"/>
    <w:rsid w:val="00B178EB"/>
    <w:rsid w:val="00B209E7"/>
    <w:rsid w:val="00B21AB8"/>
    <w:rsid w:val="00B21C5C"/>
    <w:rsid w:val="00B22B5C"/>
    <w:rsid w:val="00B26250"/>
    <w:rsid w:val="00B303CA"/>
    <w:rsid w:val="00B3050F"/>
    <w:rsid w:val="00B30710"/>
    <w:rsid w:val="00B3091C"/>
    <w:rsid w:val="00B32220"/>
    <w:rsid w:val="00B3245E"/>
    <w:rsid w:val="00B34A28"/>
    <w:rsid w:val="00B34B20"/>
    <w:rsid w:val="00B351F4"/>
    <w:rsid w:val="00B36682"/>
    <w:rsid w:val="00B4029F"/>
    <w:rsid w:val="00B407FC"/>
    <w:rsid w:val="00B40EC3"/>
    <w:rsid w:val="00B41865"/>
    <w:rsid w:val="00B41EA6"/>
    <w:rsid w:val="00B43ED3"/>
    <w:rsid w:val="00B44872"/>
    <w:rsid w:val="00B4655A"/>
    <w:rsid w:val="00B477FE"/>
    <w:rsid w:val="00B50944"/>
    <w:rsid w:val="00B50D59"/>
    <w:rsid w:val="00B51CA0"/>
    <w:rsid w:val="00B51D4B"/>
    <w:rsid w:val="00B51E14"/>
    <w:rsid w:val="00B52232"/>
    <w:rsid w:val="00B525E1"/>
    <w:rsid w:val="00B53947"/>
    <w:rsid w:val="00B54C8C"/>
    <w:rsid w:val="00B551C8"/>
    <w:rsid w:val="00B557AC"/>
    <w:rsid w:val="00B563DD"/>
    <w:rsid w:val="00B574FE"/>
    <w:rsid w:val="00B57ECE"/>
    <w:rsid w:val="00B604BF"/>
    <w:rsid w:val="00B610F1"/>
    <w:rsid w:val="00B61AFC"/>
    <w:rsid w:val="00B621BC"/>
    <w:rsid w:val="00B63917"/>
    <w:rsid w:val="00B63DC8"/>
    <w:rsid w:val="00B64E1A"/>
    <w:rsid w:val="00B65023"/>
    <w:rsid w:val="00B65A7D"/>
    <w:rsid w:val="00B665B4"/>
    <w:rsid w:val="00B7017C"/>
    <w:rsid w:val="00B70A4B"/>
    <w:rsid w:val="00B70F98"/>
    <w:rsid w:val="00B73B1C"/>
    <w:rsid w:val="00B74229"/>
    <w:rsid w:val="00B753E1"/>
    <w:rsid w:val="00B75FAC"/>
    <w:rsid w:val="00B76738"/>
    <w:rsid w:val="00B76947"/>
    <w:rsid w:val="00B7709D"/>
    <w:rsid w:val="00B776A9"/>
    <w:rsid w:val="00B806BF"/>
    <w:rsid w:val="00B80934"/>
    <w:rsid w:val="00B817EB"/>
    <w:rsid w:val="00B8290A"/>
    <w:rsid w:val="00B83817"/>
    <w:rsid w:val="00B8457E"/>
    <w:rsid w:val="00B852FC"/>
    <w:rsid w:val="00B86432"/>
    <w:rsid w:val="00B86A35"/>
    <w:rsid w:val="00B907ED"/>
    <w:rsid w:val="00B9140A"/>
    <w:rsid w:val="00B91CAA"/>
    <w:rsid w:val="00B922DE"/>
    <w:rsid w:val="00B9249B"/>
    <w:rsid w:val="00B932C2"/>
    <w:rsid w:val="00B93DC7"/>
    <w:rsid w:val="00B940F2"/>
    <w:rsid w:val="00B9411C"/>
    <w:rsid w:val="00B94D7A"/>
    <w:rsid w:val="00B94DE8"/>
    <w:rsid w:val="00B951E9"/>
    <w:rsid w:val="00B9652F"/>
    <w:rsid w:val="00B96A24"/>
    <w:rsid w:val="00B96A3B"/>
    <w:rsid w:val="00B96C92"/>
    <w:rsid w:val="00B96EE6"/>
    <w:rsid w:val="00B973FD"/>
    <w:rsid w:val="00BA0B84"/>
    <w:rsid w:val="00BA131B"/>
    <w:rsid w:val="00BA14EC"/>
    <w:rsid w:val="00BA2A43"/>
    <w:rsid w:val="00BA2F8A"/>
    <w:rsid w:val="00BA4450"/>
    <w:rsid w:val="00BA5F5F"/>
    <w:rsid w:val="00BA773B"/>
    <w:rsid w:val="00BA7C44"/>
    <w:rsid w:val="00BB0040"/>
    <w:rsid w:val="00BB0FC9"/>
    <w:rsid w:val="00BB1FD5"/>
    <w:rsid w:val="00BB2C6C"/>
    <w:rsid w:val="00BB2E20"/>
    <w:rsid w:val="00BB463E"/>
    <w:rsid w:val="00BB59C9"/>
    <w:rsid w:val="00BC037E"/>
    <w:rsid w:val="00BC0493"/>
    <w:rsid w:val="00BC0F79"/>
    <w:rsid w:val="00BC190D"/>
    <w:rsid w:val="00BC2534"/>
    <w:rsid w:val="00BC29EE"/>
    <w:rsid w:val="00BC2DC7"/>
    <w:rsid w:val="00BC31DF"/>
    <w:rsid w:val="00BC4079"/>
    <w:rsid w:val="00BC42E9"/>
    <w:rsid w:val="00BC4D3B"/>
    <w:rsid w:val="00BC4E2C"/>
    <w:rsid w:val="00BC6625"/>
    <w:rsid w:val="00BC7557"/>
    <w:rsid w:val="00BC7B47"/>
    <w:rsid w:val="00BD0CE8"/>
    <w:rsid w:val="00BD1206"/>
    <w:rsid w:val="00BD2216"/>
    <w:rsid w:val="00BD335F"/>
    <w:rsid w:val="00BD3DB4"/>
    <w:rsid w:val="00BD53B7"/>
    <w:rsid w:val="00BD5845"/>
    <w:rsid w:val="00BD596F"/>
    <w:rsid w:val="00BD5E08"/>
    <w:rsid w:val="00BD6941"/>
    <w:rsid w:val="00BD70FB"/>
    <w:rsid w:val="00BD7B31"/>
    <w:rsid w:val="00BD7C22"/>
    <w:rsid w:val="00BE0293"/>
    <w:rsid w:val="00BE12E6"/>
    <w:rsid w:val="00BE130A"/>
    <w:rsid w:val="00BE14C9"/>
    <w:rsid w:val="00BE20C2"/>
    <w:rsid w:val="00BE259D"/>
    <w:rsid w:val="00BE3681"/>
    <w:rsid w:val="00BE47C8"/>
    <w:rsid w:val="00BE4D3D"/>
    <w:rsid w:val="00BE5168"/>
    <w:rsid w:val="00BE6AD9"/>
    <w:rsid w:val="00BE7124"/>
    <w:rsid w:val="00BF0352"/>
    <w:rsid w:val="00BF0703"/>
    <w:rsid w:val="00BF1226"/>
    <w:rsid w:val="00BF1755"/>
    <w:rsid w:val="00BF1E30"/>
    <w:rsid w:val="00BF1FD3"/>
    <w:rsid w:val="00BF789D"/>
    <w:rsid w:val="00BF7C93"/>
    <w:rsid w:val="00BF7DF4"/>
    <w:rsid w:val="00C0111F"/>
    <w:rsid w:val="00C0172C"/>
    <w:rsid w:val="00C02E9A"/>
    <w:rsid w:val="00C03978"/>
    <w:rsid w:val="00C05B78"/>
    <w:rsid w:val="00C06BE8"/>
    <w:rsid w:val="00C1016B"/>
    <w:rsid w:val="00C101D6"/>
    <w:rsid w:val="00C1046A"/>
    <w:rsid w:val="00C1060F"/>
    <w:rsid w:val="00C10D0B"/>
    <w:rsid w:val="00C10DB3"/>
    <w:rsid w:val="00C11059"/>
    <w:rsid w:val="00C1145F"/>
    <w:rsid w:val="00C1220D"/>
    <w:rsid w:val="00C14790"/>
    <w:rsid w:val="00C14DDA"/>
    <w:rsid w:val="00C15DA6"/>
    <w:rsid w:val="00C166BE"/>
    <w:rsid w:val="00C20AE9"/>
    <w:rsid w:val="00C21BA2"/>
    <w:rsid w:val="00C23901"/>
    <w:rsid w:val="00C23E61"/>
    <w:rsid w:val="00C24A2D"/>
    <w:rsid w:val="00C25E8B"/>
    <w:rsid w:val="00C3077C"/>
    <w:rsid w:val="00C30A9E"/>
    <w:rsid w:val="00C313E5"/>
    <w:rsid w:val="00C31616"/>
    <w:rsid w:val="00C32DEC"/>
    <w:rsid w:val="00C32E27"/>
    <w:rsid w:val="00C346F1"/>
    <w:rsid w:val="00C361A1"/>
    <w:rsid w:val="00C370BE"/>
    <w:rsid w:val="00C37688"/>
    <w:rsid w:val="00C4152D"/>
    <w:rsid w:val="00C41675"/>
    <w:rsid w:val="00C41D17"/>
    <w:rsid w:val="00C42D61"/>
    <w:rsid w:val="00C436FA"/>
    <w:rsid w:val="00C4698D"/>
    <w:rsid w:val="00C510E5"/>
    <w:rsid w:val="00C52A87"/>
    <w:rsid w:val="00C538AA"/>
    <w:rsid w:val="00C5408D"/>
    <w:rsid w:val="00C54136"/>
    <w:rsid w:val="00C54701"/>
    <w:rsid w:val="00C54976"/>
    <w:rsid w:val="00C54A36"/>
    <w:rsid w:val="00C56456"/>
    <w:rsid w:val="00C566EA"/>
    <w:rsid w:val="00C56C77"/>
    <w:rsid w:val="00C608C2"/>
    <w:rsid w:val="00C616CC"/>
    <w:rsid w:val="00C6171A"/>
    <w:rsid w:val="00C61740"/>
    <w:rsid w:val="00C622C7"/>
    <w:rsid w:val="00C6251B"/>
    <w:rsid w:val="00C627D3"/>
    <w:rsid w:val="00C628A8"/>
    <w:rsid w:val="00C62D54"/>
    <w:rsid w:val="00C6314B"/>
    <w:rsid w:val="00C63BDF"/>
    <w:rsid w:val="00C647A9"/>
    <w:rsid w:val="00C64FF3"/>
    <w:rsid w:val="00C66164"/>
    <w:rsid w:val="00C72265"/>
    <w:rsid w:val="00C734F6"/>
    <w:rsid w:val="00C74160"/>
    <w:rsid w:val="00C74477"/>
    <w:rsid w:val="00C74FB2"/>
    <w:rsid w:val="00C76ACA"/>
    <w:rsid w:val="00C771D5"/>
    <w:rsid w:val="00C778ED"/>
    <w:rsid w:val="00C77DAD"/>
    <w:rsid w:val="00C81935"/>
    <w:rsid w:val="00C81FA8"/>
    <w:rsid w:val="00C83512"/>
    <w:rsid w:val="00C8388F"/>
    <w:rsid w:val="00C84807"/>
    <w:rsid w:val="00C84FDD"/>
    <w:rsid w:val="00C85E58"/>
    <w:rsid w:val="00C86310"/>
    <w:rsid w:val="00C873C8"/>
    <w:rsid w:val="00C908A8"/>
    <w:rsid w:val="00C90AB4"/>
    <w:rsid w:val="00C90FD0"/>
    <w:rsid w:val="00C911BD"/>
    <w:rsid w:val="00C92460"/>
    <w:rsid w:val="00C9327B"/>
    <w:rsid w:val="00C9439B"/>
    <w:rsid w:val="00C94C42"/>
    <w:rsid w:val="00C94EB7"/>
    <w:rsid w:val="00C95579"/>
    <w:rsid w:val="00C96637"/>
    <w:rsid w:val="00CA10C1"/>
    <w:rsid w:val="00CA10C7"/>
    <w:rsid w:val="00CA1479"/>
    <w:rsid w:val="00CA31B8"/>
    <w:rsid w:val="00CA47A7"/>
    <w:rsid w:val="00CA64E5"/>
    <w:rsid w:val="00CA7233"/>
    <w:rsid w:val="00CA7856"/>
    <w:rsid w:val="00CB003E"/>
    <w:rsid w:val="00CB0193"/>
    <w:rsid w:val="00CB046C"/>
    <w:rsid w:val="00CB1DDA"/>
    <w:rsid w:val="00CB20FF"/>
    <w:rsid w:val="00CB3015"/>
    <w:rsid w:val="00CB344F"/>
    <w:rsid w:val="00CB3BB1"/>
    <w:rsid w:val="00CB4B01"/>
    <w:rsid w:val="00CB4B30"/>
    <w:rsid w:val="00CC2036"/>
    <w:rsid w:val="00CC2074"/>
    <w:rsid w:val="00CC2995"/>
    <w:rsid w:val="00CC327D"/>
    <w:rsid w:val="00CC40C5"/>
    <w:rsid w:val="00CC4D20"/>
    <w:rsid w:val="00CC5723"/>
    <w:rsid w:val="00CC64AC"/>
    <w:rsid w:val="00CC6597"/>
    <w:rsid w:val="00CC68E7"/>
    <w:rsid w:val="00CC7189"/>
    <w:rsid w:val="00CC7917"/>
    <w:rsid w:val="00CD05B1"/>
    <w:rsid w:val="00CD078E"/>
    <w:rsid w:val="00CD1697"/>
    <w:rsid w:val="00CD2960"/>
    <w:rsid w:val="00CD2993"/>
    <w:rsid w:val="00CD2A21"/>
    <w:rsid w:val="00CD38DD"/>
    <w:rsid w:val="00CD537D"/>
    <w:rsid w:val="00CD56CA"/>
    <w:rsid w:val="00CD61A9"/>
    <w:rsid w:val="00CE0A4A"/>
    <w:rsid w:val="00CE33A7"/>
    <w:rsid w:val="00CE3E32"/>
    <w:rsid w:val="00CE7543"/>
    <w:rsid w:val="00CF07A9"/>
    <w:rsid w:val="00CF136D"/>
    <w:rsid w:val="00CF1398"/>
    <w:rsid w:val="00CF311F"/>
    <w:rsid w:val="00CF43D3"/>
    <w:rsid w:val="00CF4878"/>
    <w:rsid w:val="00CF49F8"/>
    <w:rsid w:val="00CF58CB"/>
    <w:rsid w:val="00CF5F43"/>
    <w:rsid w:val="00CF5FD5"/>
    <w:rsid w:val="00CF6025"/>
    <w:rsid w:val="00CF7C03"/>
    <w:rsid w:val="00D031D0"/>
    <w:rsid w:val="00D04379"/>
    <w:rsid w:val="00D045D2"/>
    <w:rsid w:val="00D05297"/>
    <w:rsid w:val="00D055CF"/>
    <w:rsid w:val="00D05EDD"/>
    <w:rsid w:val="00D079D4"/>
    <w:rsid w:val="00D1047D"/>
    <w:rsid w:val="00D109FD"/>
    <w:rsid w:val="00D10AE2"/>
    <w:rsid w:val="00D10E4A"/>
    <w:rsid w:val="00D118C7"/>
    <w:rsid w:val="00D121DF"/>
    <w:rsid w:val="00D13BB9"/>
    <w:rsid w:val="00D157D9"/>
    <w:rsid w:val="00D16669"/>
    <w:rsid w:val="00D16C26"/>
    <w:rsid w:val="00D17CD8"/>
    <w:rsid w:val="00D17D61"/>
    <w:rsid w:val="00D17F2E"/>
    <w:rsid w:val="00D206DD"/>
    <w:rsid w:val="00D207C4"/>
    <w:rsid w:val="00D21531"/>
    <w:rsid w:val="00D218A2"/>
    <w:rsid w:val="00D259D4"/>
    <w:rsid w:val="00D26782"/>
    <w:rsid w:val="00D26CE3"/>
    <w:rsid w:val="00D27A79"/>
    <w:rsid w:val="00D27C3B"/>
    <w:rsid w:val="00D3035C"/>
    <w:rsid w:val="00D30696"/>
    <w:rsid w:val="00D31BA2"/>
    <w:rsid w:val="00D32601"/>
    <w:rsid w:val="00D33989"/>
    <w:rsid w:val="00D35FFA"/>
    <w:rsid w:val="00D36158"/>
    <w:rsid w:val="00D36A9B"/>
    <w:rsid w:val="00D36D54"/>
    <w:rsid w:val="00D3724B"/>
    <w:rsid w:val="00D379E0"/>
    <w:rsid w:val="00D37A82"/>
    <w:rsid w:val="00D37A86"/>
    <w:rsid w:val="00D37E5C"/>
    <w:rsid w:val="00D40722"/>
    <w:rsid w:val="00D4109C"/>
    <w:rsid w:val="00D4221F"/>
    <w:rsid w:val="00D42DC7"/>
    <w:rsid w:val="00D43AB3"/>
    <w:rsid w:val="00D440F3"/>
    <w:rsid w:val="00D4475F"/>
    <w:rsid w:val="00D454A1"/>
    <w:rsid w:val="00D4565B"/>
    <w:rsid w:val="00D45A00"/>
    <w:rsid w:val="00D46C8D"/>
    <w:rsid w:val="00D47BA0"/>
    <w:rsid w:val="00D50330"/>
    <w:rsid w:val="00D50E3C"/>
    <w:rsid w:val="00D521A6"/>
    <w:rsid w:val="00D52776"/>
    <w:rsid w:val="00D52F7D"/>
    <w:rsid w:val="00D53480"/>
    <w:rsid w:val="00D53A9F"/>
    <w:rsid w:val="00D542C7"/>
    <w:rsid w:val="00D5437B"/>
    <w:rsid w:val="00D549BA"/>
    <w:rsid w:val="00D55A75"/>
    <w:rsid w:val="00D55C5B"/>
    <w:rsid w:val="00D56DB5"/>
    <w:rsid w:val="00D57BF6"/>
    <w:rsid w:val="00D57F33"/>
    <w:rsid w:val="00D6028D"/>
    <w:rsid w:val="00D60D47"/>
    <w:rsid w:val="00D616AF"/>
    <w:rsid w:val="00D61986"/>
    <w:rsid w:val="00D63650"/>
    <w:rsid w:val="00D63692"/>
    <w:rsid w:val="00D63C98"/>
    <w:rsid w:val="00D64571"/>
    <w:rsid w:val="00D64FED"/>
    <w:rsid w:val="00D65AA6"/>
    <w:rsid w:val="00D66061"/>
    <w:rsid w:val="00D661B1"/>
    <w:rsid w:val="00D700DE"/>
    <w:rsid w:val="00D7073E"/>
    <w:rsid w:val="00D70C4C"/>
    <w:rsid w:val="00D7175C"/>
    <w:rsid w:val="00D71CA3"/>
    <w:rsid w:val="00D71D32"/>
    <w:rsid w:val="00D72D2C"/>
    <w:rsid w:val="00D730A3"/>
    <w:rsid w:val="00D7345C"/>
    <w:rsid w:val="00D7413C"/>
    <w:rsid w:val="00D74CEA"/>
    <w:rsid w:val="00D7564C"/>
    <w:rsid w:val="00D764F6"/>
    <w:rsid w:val="00D77383"/>
    <w:rsid w:val="00D77B7E"/>
    <w:rsid w:val="00D814DC"/>
    <w:rsid w:val="00D84670"/>
    <w:rsid w:val="00D84737"/>
    <w:rsid w:val="00D84DC7"/>
    <w:rsid w:val="00D856D1"/>
    <w:rsid w:val="00D867A7"/>
    <w:rsid w:val="00D86E23"/>
    <w:rsid w:val="00D87345"/>
    <w:rsid w:val="00D879B0"/>
    <w:rsid w:val="00D87D14"/>
    <w:rsid w:val="00D90251"/>
    <w:rsid w:val="00D90F9C"/>
    <w:rsid w:val="00D915EC"/>
    <w:rsid w:val="00D915F9"/>
    <w:rsid w:val="00D92827"/>
    <w:rsid w:val="00D92B05"/>
    <w:rsid w:val="00D941E5"/>
    <w:rsid w:val="00D95363"/>
    <w:rsid w:val="00D96C55"/>
    <w:rsid w:val="00D97E0F"/>
    <w:rsid w:val="00DA179C"/>
    <w:rsid w:val="00DA1EF1"/>
    <w:rsid w:val="00DA2387"/>
    <w:rsid w:val="00DA2809"/>
    <w:rsid w:val="00DA3171"/>
    <w:rsid w:val="00DA46D0"/>
    <w:rsid w:val="00DA4B86"/>
    <w:rsid w:val="00DA532D"/>
    <w:rsid w:val="00DA6333"/>
    <w:rsid w:val="00DA6769"/>
    <w:rsid w:val="00DA7A71"/>
    <w:rsid w:val="00DB16CF"/>
    <w:rsid w:val="00DB3702"/>
    <w:rsid w:val="00DB4425"/>
    <w:rsid w:val="00DB5736"/>
    <w:rsid w:val="00DB5E36"/>
    <w:rsid w:val="00DB6292"/>
    <w:rsid w:val="00DB6726"/>
    <w:rsid w:val="00DC03C0"/>
    <w:rsid w:val="00DC1D29"/>
    <w:rsid w:val="00DC21BD"/>
    <w:rsid w:val="00DC24D2"/>
    <w:rsid w:val="00DC2D5F"/>
    <w:rsid w:val="00DC46A7"/>
    <w:rsid w:val="00DC517F"/>
    <w:rsid w:val="00DC6CC2"/>
    <w:rsid w:val="00DC76EE"/>
    <w:rsid w:val="00DC7B99"/>
    <w:rsid w:val="00DD0033"/>
    <w:rsid w:val="00DD1A94"/>
    <w:rsid w:val="00DD1FD0"/>
    <w:rsid w:val="00DD3113"/>
    <w:rsid w:val="00DD3D37"/>
    <w:rsid w:val="00DD40EF"/>
    <w:rsid w:val="00DD47FB"/>
    <w:rsid w:val="00DD4AA5"/>
    <w:rsid w:val="00DD4B17"/>
    <w:rsid w:val="00DD4C59"/>
    <w:rsid w:val="00DD4CF0"/>
    <w:rsid w:val="00DD61F5"/>
    <w:rsid w:val="00DD75CF"/>
    <w:rsid w:val="00DD7687"/>
    <w:rsid w:val="00DE0FE1"/>
    <w:rsid w:val="00DE1D84"/>
    <w:rsid w:val="00DE3013"/>
    <w:rsid w:val="00DE340B"/>
    <w:rsid w:val="00DE3D43"/>
    <w:rsid w:val="00DF03D5"/>
    <w:rsid w:val="00DF1D38"/>
    <w:rsid w:val="00DF1FF9"/>
    <w:rsid w:val="00DF20B8"/>
    <w:rsid w:val="00DF2676"/>
    <w:rsid w:val="00DF2F16"/>
    <w:rsid w:val="00DF322A"/>
    <w:rsid w:val="00DF410A"/>
    <w:rsid w:val="00DF6149"/>
    <w:rsid w:val="00DF631D"/>
    <w:rsid w:val="00DF6855"/>
    <w:rsid w:val="00E00160"/>
    <w:rsid w:val="00E00E09"/>
    <w:rsid w:val="00E02194"/>
    <w:rsid w:val="00E0238C"/>
    <w:rsid w:val="00E0616C"/>
    <w:rsid w:val="00E06291"/>
    <w:rsid w:val="00E06D60"/>
    <w:rsid w:val="00E07344"/>
    <w:rsid w:val="00E101BD"/>
    <w:rsid w:val="00E106DF"/>
    <w:rsid w:val="00E10770"/>
    <w:rsid w:val="00E11052"/>
    <w:rsid w:val="00E11DE1"/>
    <w:rsid w:val="00E130BF"/>
    <w:rsid w:val="00E13B2E"/>
    <w:rsid w:val="00E13D36"/>
    <w:rsid w:val="00E140FF"/>
    <w:rsid w:val="00E14113"/>
    <w:rsid w:val="00E14260"/>
    <w:rsid w:val="00E15647"/>
    <w:rsid w:val="00E20207"/>
    <w:rsid w:val="00E21086"/>
    <w:rsid w:val="00E21309"/>
    <w:rsid w:val="00E22061"/>
    <w:rsid w:val="00E238D7"/>
    <w:rsid w:val="00E24AE2"/>
    <w:rsid w:val="00E24B2F"/>
    <w:rsid w:val="00E24FEC"/>
    <w:rsid w:val="00E25E8E"/>
    <w:rsid w:val="00E26A85"/>
    <w:rsid w:val="00E26B8A"/>
    <w:rsid w:val="00E301EB"/>
    <w:rsid w:val="00E30E4A"/>
    <w:rsid w:val="00E313F2"/>
    <w:rsid w:val="00E34707"/>
    <w:rsid w:val="00E3512B"/>
    <w:rsid w:val="00E36081"/>
    <w:rsid w:val="00E415B6"/>
    <w:rsid w:val="00E428BA"/>
    <w:rsid w:val="00E4439E"/>
    <w:rsid w:val="00E44B89"/>
    <w:rsid w:val="00E44C8E"/>
    <w:rsid w:val="00E456AA"/>
    <w:rsid w:val="00E471BE"/>
    <w:rsid w:val="00E475CD"/>
    <w:rsid w:val="00E47C53"/>
    <w:rsid w:val="00E47D9A"/>
    <w:rsid w:val="00E5077F"/>
    <w:rsid w:val="00E511E8"/>
    <w:rsid w:val="00E513DA"/>
    <w:rsid w:val="00E520A7"/>
    <w:rsid w:val="00E54029"/>
    <w:rsid w:val="00E54310"/>
    <w:rsid w:val="00E54ABE"/>
    <w:rsid w:val="00E54E15"/>
    <w:rsid w:val="00E55800"/>
    <w:rsid w:val="00E55C24"/>
    <w:rsid w:val="00E56360"/>
    <w:rsid w:val="00E564F2"/>
    <w:rsid w:val="00E568E3"/>
    <w:rsid w:val="00E57915"/>
    <w:rsid w:val="00E63319"/>
    <w:rsid w:val="00E63332"/>
    <w:rsid w:val="00E633DD"/>
    <w:rsid w:val="00E635A1"/>
    <w:rsid w:val="00E6469E"/>
    <w:rsid w:val="00E64844"/>
    <w:rsid w:val="00E64B39"/>
    <w:rsid w:val="00E65E88"/>
    <w:rsid w:val="00E65FBA"/>
    <w:rsid w:val="00E678C7"/>
    <w:rsid w:val="00E678D3"/>
    <w:rsid w:val="00E70F19"/>
    <w:rsid w:val="00E71200"/>
    <w:rsid w:val="00E714C5"/>
    <w:rsid w:val="00E72496"/>
    <w:rsid w:val="00E73322"/>
    <w:rsid w:val="00E758C1"/>
    <w:rsid w:val="00E7708C"/>
    <w:rsid w:val="00E77854"/>
    <w:rsid w:val="00E804B8"/>
    <w:rsid w:val="00E80767"/>
    <w:rsid w:val="00E813B9"/>
    <w:rsid w:val="00E818B2"/>
    <w:rsid w:val="00E829CE"/>
    <w:rsid w:val="00E83EFC"/>
    <w:rsid w:val="00E84C35"/>
    <w:rsid w:val="00E86386"/>
    <w:rsid w:val="00E87593"/>
    <w:rsid w:val="00E87AD4"/>
    <w:rsid w:val="00E900EA"/>
    <w:rsid w:val="00E907A3"/>
    <w:rsid w:val="00E92070"/>
    <w:rsid w:val="00E92456"/>
    <w:rsid w:val="00E92810"/>
    <w:rsid w:val="00E93EEA"/>
    <w:rsid w:val="00E94010"/>
    <w:rsid w:val="00E94D51"/>
    <w:rsid w:val="00E94F72"/>
    <w:rsid w:val="00E95B25"/>
    <w:rsid w:val="00E95F9C"/>
    <w:rsid w:val="00E97468"/>
    <w:rsid w:val="00E97D83"/>
    <w:rsid w:val="00EA1208"/>
    <w:rsid w:val="00EA4520"/>
    <w:rsid w:val="00EA4DDD"/>
    <w:rsid w:val="00EA5201"/>
    <w:rsid w:val="00EA5948"/>
    <w:rsid w:val="00EA61BD"/>
    <w:rsid w:val="00EA6F9C"/>
    <w:rsid w:val="00EB045F"/>
    <w:rsid w:val="00EB095C"/>
    <w:rsid w:val="00EB0EAF"/>
    <w:rsid w:val="00EB0F3E"/>
    <w:rsid w:val="00EB1641"/>
    <w:rsid w:val="00EB1FCF"/>
    <w:rsid w:val="00EB6BFC"/>
    <w:rsid w:val="00EB71A0"/>
    <w:rsid w:val="00EB71E4"/>
    <w:rsid w:val="00EC1383"/>
    <w:rsid w:val="00EC19DE"/>
    <w:rsid w:val="00EC1CF6"/>
    <w:rsid w:val="00EC3C47"/>
    <w:rsid w:val="00EC3D6B"/>
    <w:rsid w:val="00EC4965"/>
    <w:rsid w:val="00EC517E"/>
    <w:rsid w:val="00ED0296"/>
    <w:rsid w:val="00ED092D"/>
    <w:rsid w:val="00ED0D7B"/>
    <w:rsid w:val="00ED0F62"/>
    <w:rsid w:val="00ED189C"/>
    <w:rsid w:val="00ED3579"/>
    <w:rsid w:val="00ED47D9"/>
    <w:rsid w:val="00ED4AB7"/>
    <w:rsid w:val="00ED5575"/>
    <w:rsid w:val="00ED64C4"/>
    <w:rsid w:val="00ED7844"/>
    <w:rsid w:val="00EE25B0"/>
    <w:rsid w:val="00EE3E88"/>
    <w:rsid w:val="00EE6816"/>
    <w:rsid w:val="00EE73E7"/>
    <w:rsid w:val="00EE7C1A"/>
    <w:rsid w:val="00EF04B7"/>
    <w:rsid w:val="00EF04FC"/>
    <w:rsid w:val="00EF1F0E"/>
    <w:rsid w:val="00EF1F94"/>
    <w:rsid w:val="00EF2E88"/>
    <w:rsid w:val="00EF3877"/>
    <w:rsid w:val="00EF3E94"/>
    <w:rsid w:val="00EF5195"/>
    <w:rsid w:val="00EF51D8"/>
    <w:rsid w:val="00EF5BF1"/>
    <w:rsid w:val="00EF6900"/>
    <w:rsid w:val="00EF74CD"/>
    <w:rsid w:val="00EF78CE"/>
    <w:rsid w:val="00F0005C"/>
    <w:rsid w:val="00F023CF"/>
    <w:rsid w:val="00F03DCB"/>
    <w:rsid w:val="00F04226"/>
    <w:rsid w:val="00F042C0"/>
    <w:rsid w:val="00F042EE"/>
    <w:rsid w:val="00F049CC"/>
    <w:rsid w:val="00F06A31"/>
    <w:rsid w:val="00F079C9"/>
    <w:rsid w:val="00F103AC"/>
    <w:rsid w:val="00F10615"/>
    <w:rsid w:val="00F12422"/>
    <w:rsid w:val="00F12628"/>
    <w:rsid w:val="00F129F4"/>
    <w:rsid w:val="00F147CD"/>
    <w:rsid w:val="00F1485F"/>
    <w:rsid w:val="00F167AF"/>
    <w:rsid w:val="00F21C02"/>
    <w:rsid w:val="00F21CED"/>
    <w:rsid w:val="00F2293F"/>
    <w:rsid w:val="00F246DB"/>
    <w:rsid w:val="00F25343"/>
    <w:rsid w:val="00F26316"/>
    <w:rsid w:val="00F274C8"/>
    <w:rsid w:val="00F27DBD"/>
    <w:rsid w:val="00F27EF8"/>
    <w:rsid w:val="00F3005A"/>
    <w:rsid w:val="00F30329"/>
    <w:rsid w:val="00F3142C"/>
    <w:rsid w:val="00F31DFE"/>
    <w:rsid w:val="00F32325"/>
    <w:rsid w:val="00F33E92"/>
    <w:rsid w:val="00F33F27"/>
    <w:rsid w:val="00F3410F"/>
    <w:rsid w:val="00F35159"/>
    <w:rsid w:val="00F352B6"/>
    <w:rsid w:val="00F360F8"/>
    <w:rsid w:val="00F41A2A"/>
    <w:rsid w:val="00F42174"/>
    <w:rsid w:val="00F43823"/>
    <w:rsid w:val="00F43DB2"/>
    <w:rsid w:val="00F459CF"/>
    <w:rsid w:val="00F45DE1"/>
    <w:rsid w:val="00F50909"/>
    <w:rsid w:val="00F511B0"/>
    <w:rsid w:val="00F526E2"/>
    <w:rsid w:val="00F53794"/>
    <w:rsid w:val="00F53D9C"/>
    <w:rsid w:val="00F53F7D"/>
    <w:rsid w:val="00F5524C"/>
    <w:rsid w:val="00F55A3C"/>
    <w:rsid w:val="00F56BEA"/>
    <w:rsid w:val="00F5746A"/>
    <w:rsid w:val="00F60266"/>
    <w:rsid w:val="00F619BA"/>
    <w:rsid w:val="00F6209F"/>
    <w:rsid w:val="00F62B53"/>
    <w:rsid w:val="00F659C5"/>
    <w:rsid w:val="00F70C6F"/>
    <w:rsid w:val="00F713CC"/>
    <w:rsid w:val="00F73BC1"/>
    <w:rsid w:val="00F73EBE"/>
    <w:rsid w:val="00F743DC"/>
    <w:rsid w:val="00F7457D"/>
    <w:rsid w:val="00F7479C"/>
    <w:rsid w:val="00F7511D"/>
    <w:rsid w:val="00F76866"/>
    <w:rsid w:val="00F76C23"/>
    <w:rsid w:val="00F7777D"/>
    <w:rsid w:val="00F77EEA"/>
    <w:rsid w:val="00F81FB2"/>
    <w:rsid w:val="00F820CD"/>
    <w:rsid w:val="00F82615"/>
    <w:rsid w:val="00F85366"/>
    <w:rsid w:val="00F8739F"/>
    <w:rsid w:val="00F8769A"/>
    <w:rsid w:val="00F87D0E"/>
    <w:rsid w:val="00F90C71"/>
    <w:rsid w:val="00F922BE"/>
    <w:rsid w:val="00F9315C"/>
    <w:rsid w:val="00F93218"/>
    <w:rsid w:val="00F93474"/>
    <w:rsid w:val="00F93A24"/>
    <w:rsid w:val="00F93D00"/>
    <w:rsid w:val="00F94536"/>
    <w:rsid w:val="00F94863"/>
    <w:rsid w:val="00F94AA5"/>
    <w:rsid w:val="00F96551"/>
    <w:rsid w:val="00F973EC"/>
    <w:rsid w:val="00FA3152"/>
    <w:rsid w:val="00FA39E4"/>
    <w:rsid w:val="00FA44CB"/>
    <w:rsid w:val="00FA4A4C"/>
    <w:rsid w:val="00FA5B9D"/>
    <w:rsid w:val="00FB046E"/>
    <w:rsid w:val="00FB0DC5"/>
    <w:rsid w:val="00FB1D83"/>
    <w:rsid w:val="00FB24A4"/>
    <w:rsid w:val="00FB2E16"/>
    <w:rsid w:val="00FB2F4E"/>
    <w:rsid w:val="00FB3900"/>
    <w:rsid w:val="00FB3D59"/>
    <w:rsid w:val="00FB403F"/>
    <w:rsid w:val="00FB515B"/>
    <w:rsid w:val="00FB51AA"/>
    <w:rsid w:val="00FB565A"/>
    <w:rsid w:val="00FB5EA4"/>
    <w:rsid w:val="00FC1773"/>
    <w:rsid w:val="00FC18B3"/>
    <w:rsid w:val="00FC194D"/>
    <w:rsid w:val="00FC25DA"/>
    <w:rsid w:val="00FC31B3"/>
    <w:rsid w:val="00FC3404"/>
    <w:rsid w:val="00FC3F5E"/>
    <w:rsid w:val="00FC44B8"/>
    <w:rsid w:val="00FC45B8"/>
    <w:rsid w:val="00FC705C"/>
    <w:rsid w:val="00FC71DE"/>
    <w:rsid w:val="00FD0957"/>
    <w:rsid w:val="00FD0B26"/>
    <w:rsid w:val="00FD2823"/>
    <w:rsid w:val="00FD38CA"/>
    <w:rsid w:val="00FD3E4D"/>
    <w:rsid w:val="00FD4649"/>
    <w:rsid w:val="00FD58BD"/>
    <w:rsid w:val="00FD6775"/>
    <w:rsid w:val="00FD6911"/>
    <w:rsid w:val="00FD6A25"/>
    <w:rsid w:val="00FD7035"/>
    <w:rsid w:val="00FD7BCD"/>
    <w:rsid w:val="00FE0499"/>
    <w:rsid w:val="00FE08CA"/>
    <w:rsid w:val="00FE2649"/>
    <w:rsid w:val="00FE38D6"/>
    <w:rsid w:val="00FE544A"/>
    <w:rsid w:val="00FE60D6"/>
    <w:rsid w:val="00FE6FEF"/>
    <w:rsid w:val="00FF0817"/>
    <w:rsid w:val="00FF1556"/>
    <w:rsid w:val="00FF1E4A"/>
    <w:rsid w:val="00FF2DC9"/>
    <w:rsid w:val="00FF3810"/>
    <w:rsid w:val="00FF47A1"/>
    <w:rsid w:val="00FF552B"/>
    <w:rsid w:val="00FF5A58"/>
    <w:rsid w:val="00FF658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8A0A"/>
  <w15:docId w15:val="{24F503E4-207B-43DC-9A07-E4255E29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62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webb, Знак,Обычный (веб) Знак2,Обычный (веб) Знак1 Знак,Обычный (веб) Знак Знак Знак,Знак Знак Знак Знак,Знак Знак1 Знак,Обычный (веб) Знак Знак1,Знак Знак2"/>
    <w:basedOn w:val="Normal"/>
    <w:link w:val="NormalWebChar"/>
    <w:uiPriority w:val="99"/>
    <w:qFormat/>
    <w:rsid w:val="006D2F10"/>
    <w:pPr>
      <w:ind w:firstLine="567"/>
      <w:jc w:val="both"/>
    </w:pPr>
  </w:style>
  <w:style w:type="paragraph" w:customStyle="1" w:styleId="Normal0">
    <w:name w:val="[Normal]"/>
    <w:rsid w:val="006D2F10"/>
    <w:pPr>
      <w:suppressAutoHyphens/>
      <w:autoSpaceDE w:val="0"/>
      <w:spacing w:after="0" w:line="240" w:lineRule="auto"/>
    </w:pPr>
    <w:rPr>
      <w:rFonts w:ascii="Arial" w:eastAsia="Arial" w:hAnsi="Arial" w:cs="Arial"/>
      <w:sz w:val="24"/>
      <w:szCs w:val="24"/>
      <w:lang w:eastAsia="ar-SA"/>
    </w:rPr>
  </w:style>
  <w:style w:type="character" w:customStyle="1" w:styleId="apple-style-span">
    <w:name w:val="apple-style-span"/>
    <w:basedOn w:val="DefaultParagraphFont"/>
    <w:rsid w:val="006D2F10"/>
  </w:style>
  <w:style w:type="paragraph" w:styleId="ListParagraph">
    <w:name w:val="List Paragraph"/>
    <w:aliases w:val="Heading1,Bullet Styles para,List Paragraph (numbered (a)),Párrafo de lista,Bullet,Numbered Para 1,Dot pt,No Spacing1,List Paragraph Char Char Char,Indicator Text,Bullet Points,MAIN CONTENT,List Paragraph12,F5 List Paragraph,OBC Bullet"/>
    <w:basedOn w:val="Normal"/>
    <w:link w:val="ListParagraphChar"/>
    <w:uiPriority w:val="34"/>
    <w:qFormat/>
    <w:rsid w:val="006D2F10"/>
    <w:pPr>
      <w:spacing w:after="200" w:line="276" w:lineRule="auto"/>
      <w:ind w:left="720"/>
      <w:contextualSpacing/>
    </w:pPr>
    <w:rPr>
      <w:rFonts w:ascii="Calibri" w:eastAsia="SimSun" w:hAnsi="Calibri"/>
      <w:sz w:val="22"/>
      <w:szCs w:val="22"/>
      <w:lang w:val="ro-RO" w:eastAsia="zh-CN"/>
    </w:rPr>
  </w:style>
  <w:style w:type="paragraph" w:styleId="BalloonText">
    <w:name w:val="Balloon Text"/>
    <w:basedOn w:val="Normal"/>
    <w:link w:val="BalloonTextChar"/>
    <w:unhideWhenUsed/>
    <w:rsid w:val="003A03AA"/>
    <w:rPr>
      <w:rFonts w:ascii="Tahoma" w:hAnsi="Tahoma" w:cs="Tahoma"/>
      <w:sz w:val="16"/>
      <w:szCs w:val="16"/>
    </w:rPr>
  </w:style>
  <w:style w:type="character" w:customStyle="1" w:styleId="BalloonTextChar">
    <w:name w:val="Balloon Text Char"/>
    <w:basedOn w:val="DefaultParagraphFont"/>
    <w:link w:val="BalloonText"/>
    <w:rsid w:val="003A03AA"/>
    <w:rPr>
      <w:rFonts w:ascii="Tahoma" w:eastAsia="Times New Roman" w:hAnsi="Tahoma" w:cs="Tahoma"/>
      <w:sz w:val="16"/>
      <w:szCs w:val="16"/>
      <w:lang w:eastAsia="ru-RU"/>
    </w:rPr>
  </w:style>
  <w:style w:type="character" w:styleId="CommentReference">
    <w:name w:val="annotation reference"/>
    <w:uiPriority w:val="99"/>
    <w:rsid w:val="003A03AA"/>
    <w:rPr>
      <w:sz w:val="16"/>
      <w:szCs w:val="16"/>
    </w:rPr>
  </w:style>
  <w:style w:type="paragraph" w:styleId="CommentText">
    <w:name w:val="annotation text"/>
    <w:basedOn w:val="Normal"/>
    <w:link w:val="CommentTextChar"/>
    <w:uiPriority w:val="99"/>
    <w:rsid w:val="003A03AA"/>
    <w:rPr>
      <w:sz w:val="20"/>
      <w:szCs w:val="20"/>
      <w:lang w:val="ro-RO"/>
    </w:rPr>
  </w:style>
  <w:style w:type="character" w:customStyle="1" w:styleId="CommentTextChar">
    <w:name w:val="Comment Text Char"/>
    <w:basedOn w:val="DefaultParagraphFont"/>
    <w:link w:val="CommentText"/>
    <w:uiPriority w:val="99"/>
    <w:rsid w:val="003A03AA"/>
    <w:rPr>
      <w:rFonts w:ascii="Times New Roman" w:eastAsia="Times New Roman" w:hAnsi="Times New Roman" w:cs="Times New Roman"/>
      <w:sz w:val="20"/>
      <w:szCs w:val="20"/>
      <w:lang w:val="ro-RO" w:eastAsia="ru-RU"/>
    </w:rPr>
  </w:style>
  <w:style w:type="character" w:customStyle="1" w:styleId="Bodytext6">
    <w:name w:val="Body text (6)_"/>
    <w:basedOn w:val="DefaultParagraphFont"/>
    <w:link w:val="Bodytext60"/>
    <w:locked/>
    <w:rsid w:val="007C6242"/>
    <w:rPr>
      <w:rFonts w:ascii="Times New Roman" w:hAnsi="Times New Roman" w:cs="Times New Roman"/>
      <w:i/>
      <w:iCs/>
      <w:sz w:val="28"/>
      <w:szCs w:val="28"/>
      <w:shd w:val="clear" w:color="auto" w:fill="FFFFFF"/>
    </w:rPr>
  </w:style>
  <w:style w:type="paragraph" w:customStyle="1" w:styleId="Bodytext60">
    <w:name w:val="Body text (6)"/>
    <w:basedOn w:val="Normal"/>
    <w:link w:val="Bodytext6"/>
    <w:rsid w:val="007C6242"/>
    <w:pPr>
      <w:widowControl w:val="0"/>
      <w:shd w:val="clear" w:color="auto" w:fill="FFFFFF"/>
      <w:spacing w:line="240" w:lineRule="atLeast"/>
    </w:pPr>
    <w:rPr>
      <w:rFonts w:eastAsiaTheme="minorHAnsi"/>
      <w:i/>
      <w:iCs/>
      <w:sz w:val="28"/>
      <w:szCs w:val="28"/>
      <w:lang w:eastAsia="en-US"/>
    </w:rPr>
  </w:style>
  <w:style w:type="character" w:styleId="Strong">
    <w:name w:val="Strong"/>
    <w:qFormat/>
    <w:rsid w:val="00BE14C9"/>
    <w:rPr>
      <w:b/>
      <w:bCs/>
    </w:rPr>
  </w:style>
  <w:style w:type="character" w:customStyle="1" w:styleId="Heading12NotBold">
    <w:name w:val="Heading #1 (2) + Not Bold"/>
    <w:basedOn w:val="DefaultParagraphFont"/>
    <w:rsid w:val="00F049CC"/>
    <w:rPr>
      <w:rFonts w:ascii="Times New Roman" w:eastAsia="Times New Roman" w:hAnsi="Times New Roman" w:cs="Times New Roman"/>
      <w:b/>
      <w:bCs/>
      <w:i w:val="0"/>
      <w:iCs w:val="0"/>
      <w:smallCaps w:val="0"/>
      <w:strike w:val="0"/>
      <w:color w:val="000000"/>
      <w:spacing w:val="0"/>
      <w:w w:val="100"/>
      <w:position w:val="0"/>
      <w:sz w:val="28"/>
      <w:szCs w:val="28"/>
      <w:u w:val="none"/>
      <w:lang w:val="ro-RO" w:eastAsia="ro-RO" w:bidi="ro-RO"/>
    </w:rPr>
  </w:style>
  <w:style w:type="character" w:customStyle="1" w:styleId="Bodytext2">
    <w:name w:val="Body text (2)_"/>
    <w:basedOn w:val="DefaultParagraphFont"/>
    <w:link w:val="Bodytext20"/>
    <w:rsid w:val="00F049CC"/>
    <w:rPr>
      <w:rFonts w:ascii="Times New Roman" w:eastAsia="Times New Roman" w:hAnsi="Times New Roman" w:cs="Times New Roman"/>
      <w:shd w:val="clear" w:color="auto" w:fill="FFFFFF"/>
    </w:rPr>
  </w:style>
  <w:style w:type="character" w:customStyle="1" w:styleId="Bodytext2Italic">
    <w:name w:val="Body text (2) + Italic"/>
    <w:basedOn w:val="Bodytext2"/>
    <w:rsid w:val="00F049CC"/>
    <w:rPr>
      <w:rFonts w:ascii="Times New Roman" w:eastAsia="Times New Roman" w:hAnsi="Times New Roman" w:cs="Times New Roman"/>
      <w:i/>
      <w:iCs/>
      <w:color w:val="000000"/>
      <w:spacing w:val="0"/>
      <w:w w:val="100"/>
      <w:position w:val="0"/>
      <w:sz w:val="24"/>
      <w:szCs w:val="24"/>
      <w:shd w:val="clear" w:color="auto" w:fill="FFFFFF"/>
      <w:lang w:val="ro-RO" w:eastAsia="ro-RO" w:bidi="ro-RO"/>
    </w:rPr>
  </w:style>
  <w:style w:type="character" w:customStyle="1" w:styleId="Bodytext2Bold">
    <w:name w:val="Body text (2) + Bold"/>
    <w:basedOn w:val="Bodytext2"/>
    <w:rsid w:val="00F049CC"/>
    <w:rPr>
      <w:rFonts w:ascii="Times New Roman" w:eastAsia="Times New Roman" w:hAnsi="Times New Roman" w:cs="Times New Roman"/>
      <w:b/>
      <w:bCs/>
      <w:color w:val="000000"/>
      <w:spacing w:val="0"/>
      <w:w w:val="100"/>
      <w:position w:val="0"/>
      <w:sz w:val="24"/>
      <w:szCs w:val="24"/>
      <w:shd w:val="clear" w:color="auto" w:fill="FFFFFF"/>
      <w:lang w:val="ro-RO" w:eastAsia="ro-RO" w:bidi="ro-RO"/>
    </w:rPr>
  </w:style>
  <w:style w:type="paragraph" w:customStyle="1" w:styleId="Bodytext20">
    <w:name w:val="Body text (2)"/>
    <w:basedOn w:val="Normal"/>
    <w:link w:val="Bodytext2"/>
    <w:rsid w:val="00F049CC"/>
    <w:pPr>
      <w:widowControl w:val="0"/>
      <w:shd w:val="clear" w:color="auto" w:fill="FFFFFF"/>
      <w:spacing w:before="1200" w:after="180" w:line="293" w:lineRule="exact"/>
    </w:pPr>
    <w:rPr>
      <w:sz w:val="22"/>
      <w:szCs w:val="22"/>
      <w:lang w:eastAsia="en-US"/>
    </w:rPr>
  </w:style>
  <w:style w:type="character" w:customStyle="1" w:styleId="Bodytext5">
    <w:name w:val="Body text (5)_"/>
    <w:basedOn w:val="DefaultParagraphFont"/>
    <w:link w:val="Bodytext50"/>
    <w:rsid w:val="00F049CC"/>
    <w:rPr>
      <w:rFonts w:ascii="Times New Roman" w:eastAsia="Times New Roman" w:hAnsi="Times New Roman" w:cs="Times New Roman"/>
      <w:i/>
      <w:iCs/>
      <w:shd w:val="clear" w:color="auto" w:fill="FFFFFF"/>
    </w:rPr>
  </w:style>
  <w:style w:type="character" w:customStyle="1" w:styleId="Bodytext5NotItalic">
    <w:name w:val="Body text (5) + Not Italic"/>
    <w:basedOn w:val="Bodytext5"/>
    <w:rsid w:val="00F049CC"/>
    <w:rPr>
      <w:rFonts w:ascii="Times New Roman" w:eastAsia="Times New Roman" w:hAnsi="Times New Roman" w:cs="Times New Roman"/>
      <w:i/>
      <w:iCs/>
      <w:color w:val="000000"/>
      <w:spacing w:val="0"/>
      <w:w w:val="100"/>
      <w:position w:val="0"/>
      <w:sz w:val="24"/>
      <w:szCs w:val="24"/>
      <w:shd w:val="clear" w:color="auto" w:fill="FFFFFF"/>
      <w:lang w:val="ro-RO" w:eastAsia="ro-RO" w:bidi="ro-RO"/>
    </w:rPr>
  </w:style>
  <w:style w:type="paragraph" w:customStyle="1" w:styleId="Bodytext50">
    <w:name w:val="Body text (5)"/>
    <w:basedOn w:val="Normal"/>
    <w:link w:val="Bodytext5"/>
    <w:rsid w:val="00F049CC"/>
    <w:pPr>
      <w:widowControl w:val="0"/>
      <w:shd w:val="clear" w:color="auto" w:fill="FFFFFF"/>
      <w:spacing w:before="180" w:line="274" w:lineRule="exact"/>
      <w:jc w:val="both"/>
    </w:pPr>
    <w:rPr>
      <w:i/>
      <w:iCs/>
      <w:sz w:val="22"/>
      <w:szCs w:val="22"/>
      <w:lang w:eastAsia="en-US"/>
    </w:rPr>
  </w:style>
  <w:style w:type="character" w:customStyle="1" w:styleId="Heading1Exact">
    <w:name w:val="Heading #1 Exact"/>
    <w:basedOn w:val="DefaultParagraphFont"/>
    <w:rsid w:val="00062932"/>
    <w:rPr>
      <w:rFonts w:ascii="Times New Roman" w:eastAsia="Times New Roman" w:hAnsi="Times New Roman" w:cs="Times New Roman"/>
      <w:b w:val="0"/>
      <w:bCs w:val="0"/>
      <w:i w:val="0"/>
      <w:iCs w:val="0"/>
      <w:smallCaps w:val="0"/>
      <w:strike w:val="0"/>
      <w:sz w:val="28"/>
      <w:szCs w:val="28"/>
      <w:u w:val="none"/>
    </w:rPr>
  </w:style>
  <w:style w:type="character" w:customStyle="1" w:styleId="Bodytext9Exact">
    <w:name w:val="Body text (9) Exact"/>
    <w:basedOn w:val="DefaultParagraphFont"/>
    <w:link w:val="Bodytext9"/>
    <w:rsid w:val="00062932"/>
    <w:rPr>
      <w:rFonts w:ascii="David" w:eastAsia="David" w:hAnsi="David" w:cs="David"/>
      <w:b/>
      <w:bCs/>
      <w:sz w:val="9"/>
      <w:szCs w:val="9"/>
      <w:shd w:val="clear" w:color="auto" w:fill="FFFFFF"/>
    </w:rPr>
  </w:style>
  <w:style w:type="character" w:customStyle="1" w:styleId="Heading1">
    <w:name w:val="Heading #1_"/>
    <w:basedOn w:val="DefaultParagraphFont"/>
    <w:link w:val="Heading10"/>
    <w:rsid w:val="00062932"/>
    <w:rPr>
      <w:rFonts w:ascii="Times New Roman" w:eastAsia="Times New Roman" w:hAnsi="Times New Roman" w:cs="Times New Roman"/>
      <w:sz w:val="28"/>
      <w:szCs w:val="28"/>
      <w:shd w:val="clear" w:color="auto" w:fill="FFFFFF"/>
    </w:rPr>
  </w:style>
  <w:style w:type="paragraph" w:customStyle="1" w:styleId="Heading10">
    <w:name w:val="Heading #1"/>
    <w:basedOn w:val="Normal"/>
    <w:link w:val="Heading1"/>
    <w:rsid w:val="00062932"/>
    <w:pPr>
      <w:widowControl w:val="0"/>
      <w:shd w:val="clear" w:color="auto" w:fill="FFFFFF"/>
      <w:spacing w:before="900" w:after="1200" w:line="322" w:lineRule="exact"/>
      <w:jc w:val="right"/>
      <w:outlineLvl w:val="0"/>
    </w:pPr>
    <w:rPr>
      <w:sz w:val="28"/>
      <w:szCs w:val="28"/>
      <w:lang w:eastAsia="en-US"/>
    </w:rPr>
  </w:style>
  <w:style w:type="paragraph" w:customStyle="1" w:styleId="Bodytext9">
    <w:name w:val="Body text (9)"/>
    <w:basedOn w:val="Normal"/>
    <w:link w:val="Bodytext9Exact"/>
    <w:rsid w:val="00062932"/>
    <w:pPr>
      <w:widowControl w:val="0"/>
      <w:shd w:val="clear" w:color="auto" w:fill="FFFFFF"/>
      <w:spacing w:line="0" w:lineRule="atLeast"/>
    </w:pPr>
    <w:rPr>
      <w:rFonts w:ascii="David" w:eastAsia="David" w:hAnsi="David" w:cs="David"/>
      <w:b/>
      <w:bCs/>
      <w:sz w:val="9"/>
      <w:szCs w:val="9"/>
      <w:lang w:eastAsia="en-US"/>
    </w:rPr>
  </w:style>
  <w:style w:type="character" w:customStyle="1" w:styleId="Bodytext10BoldNotItalic">
    <w:name w:val="Body text (10) + Bold.Not Italic"/>
    <w:basedOn w:val="DefaultParagraphFont"/>
    <w:rsid w:val="005C32E6"/>
    <w:rPr>
      <w:rFonts w:ascii="Times New Roman" w:eastAsia="Times New Roman" w:hAnsi="Times New Roman" w:cs="Times New Roman"/>
      <w:b/>
      <w:bCs/>
      <w:i/>
      <w:iCs/>
      <w:smallCaps w:val="0"/>
      <w:strike w:val="0"/>
      <w:color w:val="000000"/>
      <w:spacing w:val="0"/>
      <w:w w:val="100"/>
      <w:position w:val="0"/>
      <w:sz w:val="22"/>
      <w:szCs w:val="22"/>
      <w:u w:val="single"/>
      <w:lang w:val="ro-RO" w:eastAsia="ro-RO" w:bidi="ro-RO"/>
    </w:rPr>
  </w:style>
  <w:style w:type="character" w:customStyle="1" w:styleId="Bodytext2BoldItalic">
    <w:name w:val="Body text (2) + Bold.Italic"/>
    <w:basedOn w:val="Bodytext2"/>
    <w:rsid w:val="005C32E6"/>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ItalicSpacing2pt">
    <w:name w:val="Body text (2) + Bold.Italic.Spacing 2 pt"/>
    <w:basedOn w:val="Bodytext2"/>
    <w:rsid w:val="006331C7"/>
    <w:rPr>
      <w:rFonts w:ascii="Times New Roman" w:eastAsia="Times New Roman" w:hAnsi="Times New Roman" w:cs="Times New Roman"/>
      <w:b/>
      <w:bCs/>
      <w:i/>
      <w:iCs/>
      <w:smallCaps w:val="0"/>
      <w:strike w:val="0"/>
      <w:color w:val="000000"/>
      <w:spacing w:val="40"/>
      <w:w w:val="100"/>
      <w:position w:val="0"/>
      <w:sz w:val="22"/>
      <w:szCs w:val="22"/>
      <w:u w:val="none"/>
      <w:shd w:val="clear" w:color="auto" w:fill="FFFFFF"/>
      <w:lang w:val="ro-RO" w:eastAsia="ro-RO" w:bidi="ro-RO"/>
    </w:rPr>
  </w:style>
  <w:style w:type="character" w:customStyle="1" w:styleId="ListParagraphChar">
    <w:name w:val="List Paragraph Char"/>
    <w:aliases w:val="Heading1 Char,Bullet Styles para Char,List Paragraph (numbered (a)) Char,Párrafo de lista Char,Bullet Char,Numbered Para 1 Char,Dot pt Char,No Spacing1 Char,List Paragraph Char Char Char Char,Indicator Text Char,Bullet Points Char"/>
    <w:link w:val="ListParagraph"/>
    <w:uiPriority w:val="34"/>
    <w:qFormat/>
    <w:locked/>
    <w:rsid w:val="00113E57"/>
    <w:rPr>
      <w:rFonts w:ascii="Calibri" w:eastAsia="SimSun" w:hAnsi="Calibri" w:cs="Times New Roman"/>
      <w:lang w:val="ro-RO" w:eastAsia="zh-CN"/>
    </w:rPr>
  </w:style>
  <w:style w:type="character" w:customStyle="1" w:styleId="fontstyle01">
    <w:name w:val="fontstyle01"/>
    <w:basedOn w:val="DefaultParagraphFont"/>
    <w:rsid w:val="00113E57"/>
    <w:rPr>
      <w:rFonts w:ascii="Times New Roman" w:hAnsi="Times New Roman" w:cs="Times New Roman" w:hint="default"/>
      <w:b w:val="0"/>
      <w:bCs w:val="0"/>
      <w:i/>
      <w:iCs/>
      <w:color w:val="000000"/>
      <w:sz w:val="24"/>
      <w:szCs w:val="24"/>
    </w:rPr>
  </w:style>
  <w:style w:type="paragraph" w:styleId="Title">
    <w:name w:val="Title"/>
    <w:basedOn w:val="Normal"/>
    <w:link w:val="TitleChar"/>
    <w:qFormat/>
    <w:rsid w:val="00371171"/>
    <w:pPr>
      <w:jc w:val="center"/>
    </w:pPr>
    <w:rPr>
      <w:sz w:val="28"/>
      <w:szCs w:val="20"/>
    </w:rPr>
  </w:style>
  <w:style w:type="character" w:customStyle="1" w:styleId="TitleChar">
    <w:name w:val="Title Char"/>
    <w:basedOn w:val="DefaultParagraphFont"/>
    <w:link w:val="Title"/>
    <w:rsid w:val="00371171"/>
    <w:rPr>
      <w:rFonts w:ascii="Times New Roman" w:eastAsia="Times New Roman" w:hAnsi="Times New Roman" w:cs="Times New Roman"/>
      <w:sz w:val="28"/>
      <w:szCs w:val="20"/>
      <w:lang w:eastAsia="ru-RU"/>
    </w:rPr>
  </w:style>
  <w:style w:type="character" w:customStyle="1" w:styleId="Bodytext90">
    <w:name w:val="Body text (9)_"/>
    <w:basedOn w:val="DefaultParagraphFont"/>
    <w:rsid w:val="005A4D4C"/>
    <w:rPr>
      <w:rFonts w:ascii="Times New Roman" w:eastAsia="Times New Roman" w:hAnsi="Times New Roman" w:cs="Times New Roman"/>
      <w:b/>
      <w:bCs/>
      <w:i w:val="0"/>
      <w:iCs w:val="0"/>
      <w:smallCaps w:val="0"/>
      <w:strike w:val="0"/>
      <w:sz w:val="22"/>
      <w:szCs w:val="22"/>
      <w:u w:val="none"/>
    </w:rPr>
  </w:style>
  <w:style w:type="character" w:customStyle="1" w:styleId="Bodytext10">
    <w:name w:val="Body text (10)_"/>
    <w:basedOn w:val="DefaultParagraphFont"/>
    <w:rsid w:val="005A4D4C"/>
    <w:rPr>
      <w:rFonts w:ascii="Times New Roman" w:eastAsia="Times New Roman" w:hAnsi="Times New Roman" w:cs="Times New Roman"/>
      <w:b w:val="0"/>
      <w:bCs w:val="0"/>
      <w:i/>
      <w:iCs/>
      <w:smallCaps w:val="0"/>
      <w:strike w:val="0"/>
      <w:sz w:val="22"/>
      <w:szCs w:val="22"/>
      <w:u w:val="none"/>
    </w:rPr>
  </w:style>
  <w:style w:type="character" w:customStyle="1" w:styleId="Bodytext100">
    <w:name w:val="Body text (10)"/>
    <w:basedOn w:val="Bodytext10"/>
    <w:rsid w:val="005A4D4C"/>
    <w:rPr>
      <w:rFonts w:ascii="Times New Roman" w:eastAsia="Times New Roman" w:hAnsi="Times New Roman" w:cs="Times New Roman"/>
      <w:b w:val="0"/>
      <w:bCs w:val="0"/>
      <w:i/>
      <w:iCs/>
      <w:smallCaps w:val="0"/>
      <w:strike w:val="0"/>
      <w:color w:val="000000"/>
      <w:spacing w:val="0"/>
      <w:w w:val="100"/>
      <w:position w:val="0"/>
      <w:sz w:val="22"/>
      <w:szCs w:val="22"/>
      <w:u w:val="single"/>
      <w:lang w:val="ro-RO" w:eastAsia="ro-RO" w:bidi="ro-RO"/>
    </w:rPr>
  </w:style>
  <w:style w:type="character" w:customStyle="1" w:styleId="Bodytext10Bold">
    <w:name w:val="Body text (10) + Bold"/>
    <w:basedOn w:val="Bodytext10"/>
    <w:rsid w:val="005A4D4C"/>
    <w:rPr>
      <w:rFonts w:ascii="Times New Roman" w:eastAsia="Times New Roman" w:hAnsi="Times New Roman" w:cs="Times New Roman"/>
      <w:b/>
      <w:bCs/>
      <w:i/>
      <w:iCs/>
      <w:smallCaps w:val="0"/>
      <w:strike w:val="0"/>
      <w:color w:val="000000"/>
      <w:spacing w:val="0"/>
      <w:w w:val="100"/>
      <w:position w:val="0"/>
      <w:sz w:val="22"/>
      <w:szCs w:val="22"/>
      <w:u w:val="none"/>
      <w:lang w:val="ro-RO" w:eastAsia="ro-RO" w:bidi="ro-RO"/>
    </w:rPr>
  </w:style>
  <w:style w:type="character" w:customStyle="1" w:styleId="Bodytext10NotItalic">
    <w:name w:val="Body text (10) + Not Italic"/>
    <w:basedOn w:val="Bodytext10"/>
    <w:rsid w:val="005A4D4C"/>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apple-converted-space">
    <w:name w:val="apple-converted-space"/>
    <w:rsid w:val="00EC3C47"/>
  </w:style>
  <w:style w:type="paragraph" w:customStyle="1" w:styleId="def">
    <w:name w:val="def"/>
    <w:basedOn w:val="Normal"/>
    <w:rsid w:val="00EC3C47"/>
    <w:pPr>
      <w:spacing w:before="100" w:beforeAutospacing="1" w:after="100" w:afterAutospacing="1"/>
    </w:pPr>
    <w:rPr>
      <w:lang w:val="ro-RO" w:eastAsia="ro-RO"/>
    </w:rPr>
  </w:style>
  <w:style w:type="character" w:customStyle="1" w:styleId="spaced">
    <w:name w:val="spaced"/>
    <w:rsid w:val="00EC3C47"/>
  </w:style>
  <w:style w:type="character" w:styleId="Hyperlink">
    <w:name w:val="Hyperlink"/>
    <w:basedOn w:val="DefaultParagraphFont"/>
    <w:uiPriority w:val="99"/>
    <w:unhideWhenUsed/>
    <w:rsid w:val="00E54ABE"/>
    <w:rPr>
      <w:color w:val="0000FF" w:themeColor="hyperlink"/>
      <w:u w:val="single"/>
    </w:rPr>
  </w:style>
  <w:style w:type="paragraph" w:customStyle="1" w:styleId="cn">
    <w:name w:val="cn"/>
    <w:basedOn w:val="Normal"/>
    <w:rsid w:val="004F00C6"/>
    <w:pPr>
      <w:jc w:val="center"/>
    </w:pPr>
  </w:style>
  <w:style w:type="table" w:styleId="TableGrid">
    <w:name w:val="Table Grid"/>
    <w:basedOn w:val="TableNormal"/>
    <w:uiPriority w:val="39"/>
    <w:rsid w:val="0059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F47A1"/>
    <w:pPr>
      <w:spacing w:after="0" w:line="240" w:lineRule="auto"/>
    </w:pPr>
  </w:style>
  <w:style w:type="paragraph" w:customStyle="1" w:styleId="cp">
    <w:name w:val="cp"/>
    <w:basedOn w:val="Normal"/>
    <w:rsid w:val="00BB463E"/>
    <w:pPr>
      <w:jc w:val="center"/>
    </w:pPr>
    <w:rPr>
      <w:rFonts w:eastAsiaTheme="minorEastAsia"/>
      <w:b/>
      <w:bCs/>
    </w:rPr>
  </w:style>
  <w:style w:type="table" w:styleId="PlainTable2">
    <w:name w:val="Plain Table 2"/>
    <w:basedOn w:val="TableNormal"/>
    <w:uiPriority w:val="42"/>
    <w:rsid w:val="00CF07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CF07A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B7709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ris">
    <w:name w:val="cris"/>
    <w:basedOn w:val="ListParagraph"/>
    <w:link w:val="cris0"/>
    <w:qFormat/>
    <w:rsid w:val="00F3005A"/>
    <w:pPr>
      <w:numPr>
        <w:numId w:val="1"/>
      </w:numPr>
      <w:tabs>
        <w:tab w:val="left" w:pos="426"/>
        <w:tab w:val="left" w:pos="993"/>
      </w:tabs>
      <w:spacing w:after="120" w:line="240" w:lineRule="auto"/>
      <w:jc w:val="both"/>
    </w:pPr>
    <w:rPr>
      <w:rFonts w:ascii="Times New Roman" w:eastAsia="Calibri" w:hAnsi="Times New Roman"/>
      <w:sz w:val="24"/>
      <w:szCs w:val="24"/>
      <w:lang w:val="ro-MD"/>
    </w:rPr>
  </w:style>
  <w:style w:type="character" w:customStyle="1" w:styleId="cris0">
    <w:name w:val="cris Знак"/>
    <w:basedOn w:val="ListParagraphChar"/>
    <w:link w:val="cris"/>
    <w:rsid w:val="00F3005A"/>
    <w:rPr>
      <w:rFonts w:ascii="Times New Roman" w:eastAsia="Calibri" w:hAnsi="Times New Roman" w:cs="Times New Roman"/>
      <w:sz w:val="24"/>
      <w:szCs w:val="24"/>
      <w:lang w:val="ro-MD" w:eastAsia="zh-CN"/>
    </w:rPr>
  </w:style>
  <w:style w:type="paragraph" w:customStyle="1" w:styleId="TextNormal">
    <w:name w:val="Text Normal"/>
    <w:basedOn w:val="Normal"/>
    <w:qFormat/>
    <w:rsid w:val="0009442E"/>
    <w:pPr>
      <w:spacing w:after="120"/>
    </w:pPr>
    <w:rPr>
      <w:rFonts w:ascii="Calibri" w:eastAsia="MS Mincho" w:hAnsi="Calibri" w:cs="Calibri"/>
      <w:sz w:val="22"/>
      <w:szCs w:val="22"/>
      <w:lang w:val="en-US" w:eastAsia="en-US" w:bidi="ne-NP"/>
    </w:rPr>
  </w:style>
  <w:style w:type="character" w:customStyle="1" w:styleId="NoSpacingChar">
    <w:name w:val="No Spacing Char"/>
    <w:basedOn w:val="DefaultParagraphFont"/>
    <w:link w:val="NoSpacing"/>
    <w:uiPriority w:val="1"/>
    <w:rsid w:val="0009442E"/>
  </w:style>
  <w:style w:type="paragraph" w:styleId="BodyText">
    <w:name w:val="Body Text"/>
    <w:basedOn w:val="Normal"/>
    <w:link w:val="BodyTextChar"/>
    <w:uiPriority w:val="99"/>
    <w:unhideWhenUsed/>
    <w:rsid w:val="00F10615"/>
    <w:pPr>
      <w:spacing w:after="120" w:line="259" w:lineRule="auto"/>
    </w:pPr>
    <w:rPr>
      <w:rFonts w:eastAsiaTheme="minorHAnsi"/>
      <w:sz w:val="28"/>
      <w:szCs w:val="28"/>
      <w:lang w:val="ro-RO" w:eastAsia="en-US"/>
    </w:rPr>
  </w:style>
  <w:style w:type="character" w:customStyle="1" w:styleId="BodyTextChar">
    <w:name w:val="Body Text Char"/>
    <w:basedOn w:val="DefaultParagraphFont"/>
    <w:link w:val="BodyText"/>
    <w:uiPriority w:val="99"/>
    <w:rsid w:val="00F10615"/>
    <w:rPr>
      <w:rFonts w:ascii="Times New Roman" w:hAnsi="Times New Roman" w:cs="Times New Roman"/>
      <w:sz w:val="28"/>
      <w:szCs w:val="28"/>
      <w:lang w:val="ro-RO"/>
    </w:rPr>
  </w:style>
  <w:style w:type="paragraph" w:styleId="Header">
    <w:name w:val="header"/>
    <w:basedOn w:val="Normal"/>
    <w:link w:val="HeaderChar"/>
    <w:unhideWhenUsed/>
    <w:rsid w:val="0028443E"/>
    <w:pPr>
      <w:tabs>
        <w:tab w:val="center" w:pos="4677"/>
        <w:tab w:val="right" w:pos="9355"/>
      </w:tabs>
    </w:pPr>
  </w:style>
  <w:style w:type="character" w:customStyle="1" w:styleId="HeaderChar">
    <w:name w:val="Header Char"/>
    <w:basedOn w:val="DefaultParagraphFont"/>
    <w:link w:val="Header"/>
    <w:rsid w:val="0028443E"/>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28443E"/>
    <w:pPr>
      <w:tabs>
        <w:tab w:val="center" w:pos="4677"/>
        <w:tab w:val="right" w:pos="9355"/>
      </w:tabs>
    </w:pPr>
  </w:style>
  <w:style w:type="character" w:customStyle="1" w:styleId="FooterChar">
    <w:name w:val="Footer Char"/>
    <w:basedOn w:val="DefaultParagraphFont"/>
    <w:link w:val="Footer"/>
    <w:uiPriority w:val="99"/>
    <w:rsid w:val="0028443E"/>
    <w:rPr>
      <w:rFonts w:ascii="Times New Roman" w:eastAsia="Times New Roman" w:hAnsi="Times New Roman" w:cs="Times New Roman"/>
      <w:sz w:val="24"/>
      <w:szCs w:val="24"/>
      <w:lang w:eastAsia="ru-RU"/>
    </w:rPr>
  </w:style>
  <w:style w:type="paragraph" w:customStyle="1" w:styleId="1-21">
    <w:name w:val="Средняя сетка 1 - Акцент 21"/>
    <w:basedOn w:val="Normal"/>
    <w:link w:val="1-2"/>
    <w:uiPriority w:val="34"/>
    <w:qFormat/>
    <w:rsid w:val="006C606C"/>
    <w:pPr>
      <w:spacing w:after="200" w:line="276" w:lineRule="auto"/>
      <w:ind w:left="720"/>
      <w:contextualSpacing/>
    </w:pPr>
    <w:rPr>
      <w:rFonts w:ascii="Calibri" w:eastAsia="Calibri" w:hAnsi="Calibri"/>
      <w:sz w:val="22"/>
      <w:szCs w:val="22"/>
      <w:lang w:val="ro-RO" w:eastAsia="en-US"/>
    </w:rPr>
  </w:style>
  <w:style w:type="character" w:customStyle="1" w:styleId="1-2">
    <w:name w:val="Средняя сетка 1 - Акцент 2 Знак"/>
    <w:link w:val="1-21"/>
    <w:uiPriority w:val="34"/>
    <w:locked/>
    <w:rsid w:val="006C606C"/>
    <w:rPr>
      <w:rFonts w:ascii="Calibri" w:eastAsia="Calibri" w:hAnsi="Calibri" w:cs="Times New Roman"/>
      <w:lang w:val="ro-RO"/>
    </w:rPr>
  </w:style>
  <w:style w:type="character" w:customStyle="1" w:styleId="NormalWebChar">
    <w:name w:val="Normal (Web) Char"/>
    <w:aliases w:val="Знак Char,webb Char, Знак Char,Обычный (веб) Знак2 Char,Обычный (веб) Знак1 Знак Char,Обычный (веб) Знак Знак Знак Char,Знак Знак Знак Знак Char,Знак Знак1 Знак Char,Обычный (веб) Знак Знак1 Char,Знак Знак2 Char"/>
    <w:link w:val="NormalWeb"/>
    <w:rsid w:val="006C606C"/>
    <w:rPr>
      <w:rFonts w:ascii="Times New Roman" w:eastAsia="Times New Roman" w:hAnsi="Times New Roman" w:cs="Times New Roman"/>
      <w:sz w:val="24"/>
      <w:szCs w:val="24"/>
      <w:lang w:eastAsia="ru-RU"/>
    </w:rPr>
  </w:style>
  <w:style w:type="character" w:customStyle="1" w:styleId="MediumGrid1-Accent2Char">
    <w:name w:val="Medium Grid 1 - Accent 2 Char"/>
    <w:link w:val="MediumGrid1-Accent2"/>
    <w:uiPriority w:val="34"/>
    <w:locked/>
    <w:rsid w:val="004331D8"/>
    <w:rPr>
      <w:sz w:val="22"/>
      <w:szCs w:val="22"/>
      <w:lang w:val="ro-RO" w:eastAsia="en-US"/>
    </w:rPr>
  </w:style>
  <w:style w:type="table" w:styleId="MediumGrid1-Accent2">
    <w:name w:val="Medium Grid 1 Accent 2"/>
    <w:basedOn w:val="TableNormal"/>
    <w:link w:val="MediumGrid1-Accent2Char"/>
    <w:uiPriority w:val="34"/>
    <w:semiHidden/>
    <w:unhideWhenUsed/>
    <w:rsid w:val="004331D8"/>
    <w:pPr>
      <w:spacing w:after="0" w:line="240" w:lineRule="auto"/>
    </w:pPr>
    <w:rPr>
      <w:lang w:val="ro-RO"/>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rg">
    <w:name w:val="rg"/>
    <w:basedOn w:val="Normal"/>
    <w:rsid w:val="006319B1"/>
    <w:pPr>
      <w:jc w:val="right"/>
    </w:pPr>
  </w:style>
  <w:style w:type="character" w:customStyle="1" w:styleId="docheader">
    <w:name w:val="doc_header"/>
    <w:basedOn w:val="DefaultParagraphFont"/>
    <w:rsid w:val="00135FD9"/>
  </w:style>
  <w:style w:type="character" w:customStyle="1" w:styleId="fontstyle31">
    <w:name w:val="fontstyle31"/>
    <w:basedOn w:val="DefaultParagraphFont"/>
    <w:rsid w:val="00321659"/>
    <w:rPr>
      <w:rFonts w:ascii="Times New Roman" w:hAnsi="Times New Roman" w:cs="Times New Roman" w:hint="default"/>
      <w:b w:val="0"/>
      <w:bCs w:val="0"/>
      <w:i/>
      <w:iCs/>
      <w:color w:val="000000"/>
      <w:sz w:val="24"/>
      <w:szCs w:val="24"/>
    </w:rPr>
  </w:style>
  <w:style w:type="character" w:customStyle="1" w:styleId="ListParagraphChar1">
    <w:name w:val="List Paragraph Char1"/>
    <w:aliases w:val="Scriptoria bullet points Char,List Paragraph 1 Char,Абзац списка1 Char,strikethrough Char,standaard met opsomming Char"/>
    <w:uiPriority w:val="34"/>
    <w:locked/>
    <w:rsid w:val="00321659"/>
  </w:style>
  <w:style w:type="character" w:customStyle="1" w:styleId="sttalineat">
    <w:name w:val="st_talineat"/>
    <w:rsid w:val="00F922BE"/>
  </w:style>
  <w:style w:type="paragraph" w:styleId="BodyText21">
    <w:name w:val="Body Text 2"/>
    <w:basedOn w:val="Normal"/>
    <w:link w:val="BodyText2Char"/>
    <w:uiPriority w:val="99"/>
    <w:rsid w:val="00B96A3B"/>
    <w:pPr>
      <w:spacing w:after="120" w:line="480" w:lineRule="auto"/>
    </w:pPr>
  </w:style>
  <w:style w:type="character" w:customStyle="1" w:styleId="BodyText2Char">
    <w:name w:val="Body Text 2 Char"/>
    <w:basedOn w:val="DefaultParagraphFont"/>
    <w:link w:val="BodyText21"/>
    <w:uiPriority w:val="99"/>
    <w:rsid w:val="00B96A3B"/>
    <w:rPr>
      <w:rFonts w:ascii="Times New Roman" w:eastAsia="Times New Roman" w:hAnsi="Times New Roman" w:cs="Times New Roman"/>
      <w:sz w:val="24"/>
      <w:szCs w:val="24"/>
      <w:lang w:eastAsia="ru-RU"/>
    </w:rPr>
  </w:style>
  <w:style w:type="paragraph" w:styleId="CommentSubject">
    <w:name w:val="annotation subject"/>
    <w:basedOn w:val="CommentText"/>
    <w:next w:val="CommentText"/>
    <w:link w:val="CommentSubjectChar"/>
    <w:uiPriority w:val="99"/>
    <w:semiHidden/>
    <w:unhideWhenUsed/>
    <w:rsid w:val="00FC3404"/>
    <w:rPr>
      <w:b/>
      <w:bCs/>
      <w:lang w:val="ru-RU"/>
    </w:rPr>
  </w:style>
  <w:style w:type="character" w:customStyle="1" w:styleId="CommentSubjectChar">
    <w:name w:val="Comment Subject Char"/>
    <w:basedOn w:val="CommentTextChar"/>
    <w:link w:val="CommentSubject"/>
    <w:uiPriority w:val="99"/>
    <w:semiHidden/>
    <w:rsid w:val="00FC3404"/>
    <w:rPr>
      <w:rFonts w:ascii="Times New Roman" w:eastAsia="Times New Roman" w:hAnsi="Times New Roman" w:cs="Times New Roman"/>
      <w:b/>
      <w:bCs/>
      <w:sz w:val="20"/>
      <w:szCs w:val="20"/>
      <w:lang w:val="ro-RO" w:eastAsia="ru-RU"/>
    </w:rPr>
  </w:style>
  <w:style w:type="paragraph" w:customStyle="1" w:styleId="01squarebullet">
    <w:name w:val="01 square bullet"/>
    <w:basedOn w:val="Normal"/>
    <w:uiPriority w:val="99"/>
    <w:rsid w:val="00EF6900"/>
    <w:pPr>
      <w:numPr>
        <w:numId w:val="4"/>
      </w:numPr>
      <w:spacing w:after="120" w:line="264" w:lineRule="auto"/>
      <w:ind w:right="142"/>
    </w:pPr>
    <w:rPr>
      <w:sz w:val="26"/>
      <w:szCs w:val="20"/>
      <w:lang w:val="en-US" w:eastAsia="en-US"/>
    </w:rPr>
  </w:style>
  <w:style w:type="paragraph" w:customStyle="1" w:styleId="02dash">
    <w:name w:val="02 dash"/>
    <w:basedOn w:val="01squarebullet"/>
    <w:uiPriority w:val="99"/>
    <w:rsid w:val="00EF6900"/>
    <w:pPr>
      <w:numPr>
        <w:ilvl w:val="1"/>
      </w:numPr>
      <w:tabs>
        <w:tab w:val="clear" w:pos="646"/>
      </w:tabs>
    </w:pPr>
  </w:style>
  <w:style w:type="paragraph" w:customStyle="1" w:styleId="03opensquarebullet">
    <w:name w:val="03 open square bullet"/>
    <w:basedOn w:val="02dash"/>
    <w:uiPriority w:val="99"/>
    <w:rsid w:val="00EF6900"/>
    <w:pPr>
      <w:numPr>
        <w:ilvl w:val="2"/>
      </w:numPr>
      <w:tabs>
        <w:tab w:val="clear" w:pos="924"/>
      </w:tabs>
    </w:pPr>
  </w:style>
  <w:style w:type="paragraph" w:customStyle="1" w:styleId="04shortdash">
    <w:name w:val="04 short dash"/>
    <w:basedOn w:val="03opensquarebullet"/>
    <w:uiPriority w:val="99"/>
    <w:rsid w:val="00EF6900"/>
    <w:pPr>
      <w:numPr>
        <w:ilvl w:val="3"/>
      </w:numPr>
      <w:tabs>
        <w:tab w:val="clear" w:pos="1213"/>
      </w:tabs>
      <w:ind w:left="1208"/>
    </w:pPr>
  </w:style>
  <w:style w:type="character" w:customStyle="1" w:styleId="1">
    <w:name w:val="Основной текст1"/>
    <w:basedOn w:val="DefaultParagraphFont"/>
    <w:rsid w:val="00AE05CE"/>
    <w:rPr>
      <w:rFonts w:ascii="Times New Roman" w:eastAsia="Times New Roman" w:hAnsi="Times New Roman" w:cs="Times New Roman"/>
      <w:color w:val="000000"/>
      <w:spacing w:val="0"/>
      <w:w w:val="100"/>
      <w:position w:val="0"/>
      <w:sz w:val="22"/>
      <w:szCs w:val="22"/>
      <w:shd w:val="clear" w:color="auto" w:fill="FFFFFF"/>
      <w:lang w:val="es-ES" w:eastAsia="es-ES" w:bidi="es-ES"/>
    </w:rPr>
  </w:style>
  <w:style w:type="character" w:customStyle="1" w:styleId="y2iqfc">
    <w:name w:val="y2iqfc"/>
    <w:rsid w:val="005350CC"/>
  </w:style>
  <w:style w:type="character" w:styleId="Emphasis">
    <w:name w:val="Emphasis"/>
    <w:basedOn w:val="DefaultParagraphFont"/>
    <w:uiPriority w:val="20"/>
    <w:qFormat/>
    <w:rsid w:val="000E07B9"/>
    <w:rPr>
      <w:i/>
      <w:iCs/>
    </w:rPr>
  </w:style>
  <w:style w:type="paragraph" w:styleId="ListNumber">
    <w:name w:val="List Number"/>
    <w:basedOn w:val="Normal"/>
    <w:uiPriority w:val="99"/>
    <w:unhideWhenUsed/>
    <w:rsid w:val="00A63B72"/>
    <w:pPr>
      <w:numPr>
        <w:numId w:val="32"/>
      </w:numPr>
      <w:spacing w:before="120" w:after="120" w:line="276" w:lineRule="auto"/>
      <w:jc w:val="both"/>
    </w:pPr>
    <w:rPr>
      <w:rFonts w:asciiTheme="minorHAnsi" w:eastAsiaTheme="minorHAnsi" w:hAnsiTheme="minorHAnsi" w:cs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430">
      <w:bodyDiv w:val="1"/>
      <w:marLeft w:val="0"/>
      <w:marRight w:val="0"/>
      <w:marTop w:val="0"/>
      <w:marBottom w:val="0"/>
      <w:divBdr>
        <w:top w:val="none" w:sz="0" w:space="0" w:color="auto"/>
        <w:left w:val="none" w:sz="0" w:space="0" w:color="auto"/>
        <w:bottom w:val="none" w:sz="0" w:space="0" w:color="auto"/>
        <w:right w:val="none" w:sz="0" w:space="0" w:color="auto"/>
      </w:divBdr>
    </w:div>
    <w:div w:id="31157167">
      <w:bodyDiv w:val="1"/>
      <w:marLeft w:val="0"/>
      <w:marRight w:val="0"/>
      <w:marTop w:val="0"/>
      <w:marBottom w:val="0"/>
      <w:divBdr>
        <w:top w:val="none" w:sz="0" w:space="0" w:color="auto"/>
        <w:left w:val="none" w:sz="0" w:space="0" w:color="auto"/>
        <w:bottom w:val="none" w:sz="0" w:space="0" w:color="auto"/>
        <w:right w:val="none" w:sz="0" w:space="0" w:color="auto"/>
      </w:divBdr>
    </w:div>
    <w:div w:id="83691094">
      <w:bodyDiv w:val="1"/>
      <w:marLeft w:val="0"/>
      <w:marRight w:val="0"/>
      <w:marTop w:val="0"/>
      <w:marBottom w:val="0"/>
      <w:divBdr>
        <w:top w:val="none" w:sz="0" w:space="0" w:color="auto"/>
        <w:left w:val="none" w:sz="0" w:space="0" w:color="auto"/>
        <w:bottom w:val="none" w:sz="0" w:space="0" w:color="auto"/>
        <w:right w:val="none" w:sz="0" w:space="0" w:color="auto"/>
      </w:divBdr>
    </w:div>
    <w:div w:id="103112746">
      <w:bodyDiv w:val="1"/>
      <w:marLeft w:val="0"/>
      <w:marRight w:val="0"/>
      <w:marTop w:val="0"/>
      <w:marBottom w:val="0"/>
      <w:divBdr>
        <w:top w:val="none" w:sz="0" w:space="0" w:color="auto"/>
        <w:left w:val="none" w:sz="0" w:space="0" w:color="auto"/>
        <w:bottom w:val="none" w:sz="0" w:space="0" w:color="auto"/>
        <w:right w:val="none" w:sz="0" w:space="0" w:color="auto"/>
      </w:divBdr>
    </w:div>
    <w:div w:id="122308907">
      <w:bodyDiv w:val="1"/>
      <w:marLeft w:val="0"/>
      <w:marRight w:val="0"/>
      <w:marTop w:val="0"/>
      <w:marBottom w:val="0"/>
      <w:divBdr>
        <w:top w:val="none" w:sz="0" w:space="0" w:color="auto"/>
        <w:left w:val="none" w:sz="0" w:space="0" w:color="auto"/>
        <w:bottom w:val="none" w:sz="0" w:space="0" w:color="auto"/>
        <w:right w:val="none" w:sz="0" w:space="0" w:color="auto"/>
      </w:divBdr>
    </w:div>
    <w:div w:id="131871788">
      <w:bodyDiv w:val="1"/>
      <w:marLeft w:val="0"/>
      <w:marRight w:val="0"/>
      <w:marTop w:val="0"/>
      <w:marBottom w:val="0"/>
      <w:divBdr>
        <w:top w:val="none" w:sz="0" w:space="0" w:color="auto"/>
        <w:left w:val="none" w:sz="0" w:space="0" w:color="auto"/>
        <w:bottom w:val="none" w:sz="0" w:space="0" w:color="auto"/>
        <w:right w:val="none" w:sz="0" w:space="0" w:color="auto"/>
      </w:divBdr>
    </w:div>
    <w:div w:id="141235146">
      <w:bodyDiv w:val="1"/>
      <w:marLeft w:val="0"/>
      <w:marRight w:val="0"/>
      <w:marTop w:val="0"/>
      <w:marBottom w:val="0"/>
      <w:divBdr>
        <w:top w:val="none" w:sz="0" w:space="0" w:color="auto"/>
        <w:left w:val="none" w:sz="0" w:space="0" w:color="auto"/>
        <w:bottom w:val="none" w:sz="0" w:space="0" w:color="auto"/>
        <w:right w:val="none" w:sz="0" w:space="0" w:color="auto"/>
      </w:divBdr>
    </w:div>
    <w:div w:id="234781299">
      <w:bodyDiv w:val="1"/>
      <w:marLeft w:val="0"/>
      <w:marRight w:val="0"/>
      <w:marTop w:val="0"/>
      <w:marBottom w:val="0"/>
      <w:divBdr>
        <w:top w:val="none" w:sz="0" w:space="0" w:color="auto"/>
        <w:left w:val="none" w:sz="0" w:space="0" w:color="auto"/>
        <w:bottom w:val="none" w:sz="0" w:space="0" w:color="auto"/>
        <w:right w:val="none" w:sz="0" w:space="0" w:color="auto"/>
      </w:divBdr>
    </w:div>
    <w:div w:id="249431886">
      <w:bodyDiv w:val="1"/>
      <w:marLeft w:val="0"/>
      <w:marRight w:val="0"/>
      <w:marTop w:val="0"/>
      <w:marBottom w:val="0"/>
      <w:divBdr>
        <w:top w:val="none" w:sz="0" w:space="0" w:color="auto"/>
        <w:left w:val="none" w:sz="0" w:space="0" w:color="auto"/>
        <w:bottom w:val="none" w:sz="0" w:space="0" w:color="auto"/>
        <w:right w:val="none" w:sz="0" w:space="0" w:color="auto"/>
      </w:divBdr>
    </w:div>
    <w:div w:id="295531968">
      <w:bodyDiv w:val="1"/>
      <w:marLeft w:val="0"/>
      <w:marRight w:val="0"/>
      <w:marTop w:val="0"/>
      <w:marBottom w:val="0"/>
      <w:divBdr>
        <w:top w:val="none" w:sz="0" w:space="0" w:color="auto"/>
        <w:left w:val="none" w:sz="0" w:space="0" w:color="auto"/>
        <w:bottom w:val="none" w:sz="0" w:space="0" w:color="auto"/>
        <w:right w:val="none" w:sz="0" w:space="0" w:color="auto"/>
      </w:divBdr>
    </w:div>
    <w:div w:id="324666942">
      <w:bodyDiv w:val="1"/>
      <w:marLeft w:val="0"/>
      <w:marRight w:val="0"/>
      <w:marTop w:val="0"/>
      <w:marBottom w:val="0"/>
      <w:divBdr>
        <w:top w:val="none" w:sz="0" w:space="0" w:color="auto"/>
        <w:left w:val="none" w:sz="0" w:space="0" w:color="auto"/>
        <w:bottom w:val="none" w:sz="0" w:space="0" w:color="auto"/>
        <w:right w:val="none" w:sz="0" w:space="0" w:color="auto"/>
      </w:divBdr>
    </w:div>
    <w:div w:id="326132147">
      <w:bodyDiv w:val="1"/>
      <w:marLeft w:val="0"/>
      <w:marRight w:val="0"/>
      <w:marTop w:val="0"/>
      <w:marBottom w:val="0"/>
      <w:divBdr>
        <w:top w:val="none" w:sz="0" w:space="0" w:color="auto"/>
        <w:left w:val="none" w:sz="0" w:space="0" w:color="auto"/>
        <w:bottom w:val="none" w:sz="0" w:space="0" w:color="auto"/>
        <w:right w:val="none" w:sz="0" w:space="0" w:color="auto"/>
      </w:divBdr>
    </w:div>
    <w:div w:id="358550460">
      <w:bodyDiv w:val="1"/>
      <w:marLeft w:val="0"/>
      <w:marRight w:val="0"/>
      <w:marTop w:val="0"/>
      <w:marBottom w:val="0"/>
      <w:divBdr>
        <w:top w:val="none" w:sz="0" w:space="0" w:color="auto"/>
        <w:left w:val="none" w:sz="0" w:space="0" w:color="auto"/>
        <w:bottom w:val="none" w:sz="0" w:space="0" w:color="auto"/>
        <w:right w:val="none" w:sz="0" w:space="0" w:color="auto"/>
      </w:divBdr>
    </w:div>
    <w:div w:id="370569598">
      <w:bodyDiv w:val="1"/>
      <w:marLeft w:val="0"/>
      <w:marRight w:val="0"/>
      <w:marTop w:val="0"/>
      <w:marBottom w:val="0"/>
      <w:divBdr>
        <w:top w:val="none" w:sz="0" w:space="0" w:color="auto"/>
        <w:left w:val="none" w:sz="0" w:space="0" w:color="auto"/>
        <w:bottom w:val="none" w:sz="0" w:space="0" w:color="auto"/>
        <w:right w:val="none" w:sz="0" w:space="0" w:color="auto"/>
      </w:divBdr>
    </w:div>
    <w:div w:id="381712892">
      <w:bodyDiv w:val="1"/>
      <w:marLeft w:val="0"/>
      <w:marRight w:val="0"/>
      <w:marTop w:val="0"/>
      <w:marBottom w:val="0"/>
      <w:divBdr>
        <w:top w:val="none" w:sz="0" w:space="0" w:color="auto"/>
        <w:left w:val="none" w:sz="0" w:space="0" w:color="auto"/>
        <w:bottom w:val="none" w:sz="0" w:space="0" w:color="auto"/>
        <w:right w:val="none" w:sz="0" w:space="0" w:color="auto"/>
      </w:divBdr>
    </w:div>
    <w:div w:id="411778084">
      <w:bodyDiv w:val="1"/>
      <w:marLeft w:val="0"/>
      <w:marRight w:val="0"/>
      <w:marTop w:val="0"/>
      <w:marBottom w:val="0"/>
      <w:divBdr>
        <w:top w:val="none" w:sz="0" w:space="0" w:color="auto"/>
        <w:left w:val="none" w:sz="0" w:space="0" w:color="auto"/>
        <w:bottom w:val="none" w:sz="0" w:space="0" w:color="auto"/>
        <w:right w:val="none" w:sz="0" w:space="0" w:color="auto"/>
      </w:divBdr>
    </w:div>
    <w:div w:id="437332186">
      <w:bodyDiv w:val="1"/>
      <w:marLeft w:val="0"/>
      <w:marRight w:val="0"/>
      <w:marTop w:val="0"/>
      <w:marBottom w:val="0"/>
      <w:divBdr>
        <w:top w:val="none" w:sz="0" w:space="0" w:color="auto"/>
        <w:left w:val="none" w:sz="0" w:space="0" w:color="auto"/>
        <w:bottom w:val="none" w:sz="0" w:space="0" w:color="auto"/>
        <w:right w:val="none" w:sz="0" w:space="0" w:color="auto"/>
      </w:divBdr>
    </w:div>
    <w:div w:id="543567766">
      <w:bodyDiv w:val="1"/>
      <w:marLeft w:val="0"/>
      <w:marRight w:val="0"/>
      <w:marTop w:val="0"/>
      <w:marBottom w:val="0"/>
      <w:divBdr>
        <w:top w:val="none" w:sz="0" w:space="0" w:color="auto"/>
        <w:left w:val="none" w:sz="0" w:space="0" w:color="auto"/>
        <w:bottom w:val="none" w:sz="0" w:space="0" w:color="auto"/>
        <w:right w:val="none" w:sz="0" w:space="0" w:color="auto"/>
      </w:divBdr>
    </w:div>
    <w:div w:id="547649145">
      <w:bodyDiv w:val="1"/>
      <w:marLeft w:val="0"/>
      <w:marRight w:val="0"/>
      <w:marTop w:val="0"/>
      <w:marBottom w:val="0"/>
      <w:divBdr>
        <w:top w:val="none" w:sz="0" w:space="0" w:color="auto"/>
        <w:left w:val="none" w:sz="0" w:space="0" w:color="auto"/>
        <w:bottom w:val="none" w:sz="0" w:space="0" w:color="auto"/>
        <w:right w:val="none" w:sz="0" w:space="0" w:color="auto"/>
      </w:divBdr>
    </w:div>
    <w:div w:id="551043324">
      <w:bodyDiv w:val="1"/>
      <w:marLeft w:val="0"/>
      <w:marRight w:val="0"/>
      <w:marTop w:val="0"/>
      <w:marBottom w:val="0"/>
      <w:divBdr>
        <w:top w:val="none" w:sz="0" w:space="0" w:color="auto"/>
        <w:left w:val="none" w:sz="0" w:space="0" w:color="auto"/>
        <w:bottom w:val="none" w:sz="0" w:space="0" w:color="auto"/>
        <w:right w:val="none" w:sz="0" w:space="0" w:color="auto"/>
      </w:divBdr>
    </w:div>
    <w:div w:id="572669028">
      <w:bodyDiv w:val="1"/>
      <w:marLeft w:val="0"/>
      <w:marRight w:val="0"/>
      <w:marTop w:val="0"/>
      <w:marBottom w:val="0"/>
      <w:divBdr>
        <w:top w:val="none" w:sz="0" w:space="0" w:color="auto"/>
        <w:left w:val="none" w:sz="0" w:space="0" w:color="auto"/>
        <w:bottom w:val="none" w:sz="0" w:space="0" w:color="auto"/>
        <w:right w:val="none" w:sz="0" w:space="0" w:color="auto"/>
      </w:divBdr>
    </w:div>
    <w:div w:id="599219949">
      <w:bodyDiv w:val="1"/>
      <w:marLeft w:val="0"/>
      <w:marRight w:val="0"/>
      <w:marTop w:val="0"/>
      <w:marBottom w:val="0"/>
      <w:divBdr>
        <w:top w:val="none" w:sz="0" w:space="0" w:color="auto"/>
        <w:left w:val="none" w:sz="0" w:space="0" w:color="auto"/>
        <w:bottom w:val="none" w:sz="0" w:space="0" w:color="auto"/>
        <w:right w:val="none" w:sz="0" w:space="0" w:color="auto"/>
      </w:divBdr>
    </w:div>
    <w:div w:id="603728820">
      <w:bodyDiv w:val="1"/>
      <w:marLeft w:val="0"/>
      <w:marRight w:val="0"/>
      <w:marTop w:val="0"/>
      <w:marBottom w:val="0"/>
      <w:divBdr>
        <w:top w:val="none" w:sz="0" w:space="0" w:color="auto"/>
        <w:left w:val="none" w:sz="0" w:space="0" w:color="auto"/>
        <w:bottom w:val="none" w:sz="0" w:space="0" w:color="auto"/>
        <w:right w:val="none" w:sz="0" w:space="0" w:color="auto"/>
      </w:divBdr>
    </w:div>
    <w:div w:id="621107278">
      <w:bodyDiv w:val="1"/>
      <w:marLeft w:val="0"/>
      <w:marRight w:val="0"/>
      <w:marTop w:val="0"/>
      <w:marBottom w:val="0"/>
      <w:divBdr>
        <w:top w:val="none" w:sz="0" w:space="0" w:color="auto"/>
        <w:left w:val="none" w:sz="0" w:space="0" w:color="auto"/>
        <w:bottom w:val="none" w:sz="0" w:space="0" w:color="auto"/>
        <w:right w:val="none" w:sz="0" w:space="0" w:color="auto"/>
      </w:divBdr>
    </w:div>
    <w:div w:id="632710376">
      <w:bodyDiv w:val="1"/>
      <w:marLeft w:val="0"/>
      <w:marRight w:val="0"/>
      <w:marTop w:val="0"/>
      <w:marBottom w:val="0"/>
      <w:divBdr>
        <w:top w:val="none" w:sz="0" w:space="0" w:color="auto"/>
        <w:left w:val="none" w:sz="0" w:space="0" w:color="auto"/>
        <w:bottom w:val="none" w:sz="0" w:space="0" w:color="auto"/>
        <w:right w:val="none" w:sz="0" w:space="0" w:color="auto"/>
      </w:divBdr>
    </w:div>
    <w:div w:id="633872768">
      <w:bodyDiv w:val="1"/>
      <w:marLeft w:val="0"/>
      <w:marRight w:val="0"/>
      <w:marTop w:val="0"/>
      <w:marBottom w:val="0"/>
      <w:divBdr>
        <w:top w:val="none" w:sz="0" w:space="0" w:color="auto"/>
        <w:left w:val="none" w:sz="0" w:space="0" w:color="auto"/>
        <w:bottom w:val="none" w:sz="0" w:space="0" w:color="auto"/>
        <w:right w:val="none" w:sz="0" w:space="0" w:color="auto"/>
      </w:divBdr>
    </w:div>
    <w:div w:id="666395951">
      <w:bodyDiv w:val="1"/>
      <w:marLeft w:val="0"/>
      <w:marRight w:val="0"/>
      <w:marTop w:val="0"/>
      <w:marBottom w:val="0"/>
      <w:divBdr>
        <w:top w:val="none" w:sz="0" w:space="0" w:color="auto"/>
        <w:left w:val="none" w:sz="0" w:space="0" w:color="auto"/>
        <w:bottom w:val="none" w:sz="0" w:space="0" w:color="auto"/>
        <w:right w:val="none" w:sz="0" w:space="0" w:color="auto"/>
      </w:divBdr>
    </w:div>
    <w:div w:id="806356189">
      <w:bodyDiv w:val="1"/>
      <w:marLeft w:val="0"/>
      <w:marRight w:val="0"/>
      <w:marTop w:val="0"/>
      <w:marBottom w:val="0"/>
      <w:divBdr>
        <w:top w:val="none" w:sz="0" w:space="0" w:color="auto"/>
        <w:left w:val="none" w:sz="0" w:space="0" w:color="auto"/>
        <w:bottom w:val="none" w:sz="0" w:space="0" w:color="auto"/>
        <w:right w:val="none" w:sz="0" w:space="0" w:color="auto"/>
      </w:divBdr>
    </w:div>
    <w:div w:id="880048820">
      <w:bodyDiv w:val="1"/>
      <w:marLeft w:val="0"/>
      <w:marRight w:val="0"/>
      <w:marTop w:val="0"/>
      <w:marBottom w:val="0"/>
      <w:divBdr>
        <w:top w:val="none" w:sz="0" w:space="0" w:color="auto"/>
        <w:left w:val="none" w:sz="0" w:space="0" w:color="auto"/>
        <w:bottom w:val="none" w:sz="0" w:space="0" w:color="auto"/>
        <w:right w:val="none" w:sz="0" w:space="0" w:color="auto"/>
      </w:divBdr>
    </w:div>
    <w:div w:id="930042074">
      <w:bodyDiv w:val="1"/>
      <w:marLeft w:val="0"/>
      <w:marRight w:val="0"/>
      <w:marTop w:val="0"/>
      <w:marBottom w:val="0"/>
      <w:divBdr>
        <w:top w:val="none" w:sz="0" w:space="0" w:color="auto"/>
        <w:left w:val="none" w:sz="0" w:space="0" w:color="auto"/>
        <w:bottom w:val="none" w:sz="0" w:space="0" w:color="auto"/>
        <w:right w:val="none" w:sz="0" w:space="0" w:color="auto"/>
      </w:divBdr>
    </w:div>
    <w:div w:id="931165061">
      <w:bodyDiv w:val="1"/>
      <w:marLeft w:val="0"/>
      <w:marRight w:val="0"/>
      <w:marTop w:val="0"/>
      <w:marBottom w:val="0"/>
      <w:divBdr>
        <w:top w:val="none" w:sz="0" w:space="0" w:color="auto"/>
        <w:left w:val="none" w:sz="0" w:space="0" w:color="auto"/>
        <w:bottom w:val="none" w:sz="0" w:space="0" w:color="auto"/>
        <w:right w:val="none" w:sz="0" w:space="0" w:color="auto"/>
      </w:divBdr>
    </w:div>
    <w:div w:id="946888745">
      <w:bodyDiv w:val="1"/>
      <w:marLeft w:val="0"/>
      <w:marRight w:val="0"/>
      <w:marTop w:val="0"/>
      <w:marBottom w:val="0"/>
      <w:divBdr>
        <w:top w:val="none" w:sz="0" w:space="0" w:color="auto"/>
        <w:left w:val="none" w:sz="0" w:space="0" w:color="auto"/>
        <w:bottom w:val="none" w:sz="0" w:space="0" w:color="auto"/>
        <w:right w:val="none" w:sz="0" w:space="0" w:color="auto"/>
      </w:divBdr>
    </w:div>
    <w:div w:id="974871432">
      <w:bodyDiv w:val="1"/>
      <w:marLeft w:val="0"/>
      <w:marRight w:val="0"/>
      <w:marTop w:val="0"/>
      <w:marBottom w:val="0"/>
      <w:divBdr>
        <w:top w:val="none" w:sz="0" w:space="0" w:color="auto"/>
        <w:left w:val="none" w:sz="0" w:space="0" w:color="auto"/>
        <w:bottom w:val="none" w:sz="0" w:space="0" w:color="auto"/>
        <w:right w:val="none" w:sz="0" w:space="0" w:color="auto"/>
      </w:divBdr>
    </w:div>
    <w:div w:id="975452250">
      <w:bodyDiv w:val="1"/>
      <w:marLeft w:val="0"/>
      <w:marRight w:val="0"/>
      <w:marTop w:val="0"/>
      <w:marBottom w:val="0"/>
      <w:divBdr>
        <w:top w:val="none" w:sz="0" w:space="0" w:color="auto"/>
        <w:left w:val="none" w:sz="0" w:space="0" w:color="auto"/>
        <w:bottom w:val="none" w:sz="0" w:space="0" w:color="auto"/>
        <w:right w:val="none" w:sz="0" w:space="0" w:color="auto"/>
      </w:divBdr>
    </w:div>
    <w:div w:id="980426872">
      <w:bodyDiv w:val="1"/>
      <w:marLeft w:val="0"/>
      <w:marRight w:val="0"/>
      <w:marTop w:val="0"/>
      <w:marBottom w:val="0"/>
      <w:divBdr>
        <w:top w:val="none" w:sz="0" w:space="0" w:color="auto"/>
        <w:left w:val="none" w:sz="0" w:space="0" w:color="auto"/>
        <w:bottom w:val="none" w:sz="0" w:space="0" w:color="auto"/>
        <w:right w:val="none" w:sz="0" w:space="0" w:color="auto"/>
      </w:divBdr>
    </w:div>
    <w:div w:id="1017468089">
      <w:bodyDiv w:val="1"/>
      <w:marLeft w:val="0"/>
      <w:marRight w:val="0"/>
      <w:marTop w:val="0"/>
      <w:marBottom w:val="0"/>
      <w:divBdr>
        <w:top w:val="none" w:sz="0" w:space="0" w:color="auto"/>
        <w:left w:val="none" w:sz="0" w:space="0" w:color="auto"/>
        <w:bottom w:val="none" w:sz="0" w:space="0" w:color="auto"/>
        <w:right w:val="none" w:sz="0" w:space="0" w:color="auto"/>
      </w:divBdr>
    </w:div>
    <w:div w:id="1024211620">
      <w:bodyDiv w:val="1"/>
      <w:marLeft w:val="0"/>
      <w:marRight w:val="0"/>
      <w:marTop w:val="0"/>
      <w:marBottom w:val="0"/>
      <w:divBdr>
        <w:top w:val="none" w:sz="0" w:space="0" w:color="auto"/>
        <w:left w:val="none" w:sz="0" w:space="0" w:color="auto"/>
        <w:bottom w:val="none" w:sz="0" w:space="0" w:color="auto"/>
        <w:right w:val="none" w:sz="0" w:space="0" w:color="auto"/>
      </w:divBdr>
    </w:div>
    <w:div w:id="1046028407">
      <w:bodyDiv w:val="1"/>
      <w:marLeft w:val="0"/>
      <w:marRight w:val="0"/>
      <w:marTop w:val="0"/>
      <w:marBottom w:val="0"/>
      <w:divBdr>
        <w:top w:val="none" w:sz="0" w:space="0" w:color="auto"/>
        <w:left w:val="none" w:sz="0" w:space="0" w:color="auto"/>
        <w:bottom w:val="none" w:sz="0" w:space="0" w:color="auto"/>
        <w:right w:val="none" w:sz="0" w:space="0" w:color="auto"/>
      </w:divBdr>
    </w:div>
    <w:div w:id="1061756407">
      <w:bodyDiv w:val="1"/>
      <w:marLeft w:val="0"/>
      <w:marRight w:val="0"/>
      <w:marTop w:val="0"/>
      <w:marBottom w:val="0"/>
      <w:divBdr>
        <w:top w:val="none" w:sz="0" w:space="0" w:color="auto"/>
        <w:left w:val="none" w:sz="0" w:space="0" w:color="auto"/>
        <w:bottom w:val="none" w:sz="0" w:space="0" w:color="auto"/>
        <w:right w:val="none" w:sz="0" w:space="0" w:color="auto"/>
      </w:divBdr>
    </w:div>
    <w:div w:id="1065758658">
      <w:bodyDiv w:val="1"/>
      <w:marLeft w:val="0"/>
      <w:marRight w:val="0"/>
      <w:marTop w:val="0"/>
      <w:marBottom w:val="0"/>
      <w:divBdr>
        <w:top w:val="none" w:sz="0" w:space="0" w:color="auto"/>
        <w:left w:val="none" w:sz="0" w:space="0" w:color="auto"/>
        <w:bottom w:val="none" w:sz="0" w:space="0" w:color="auto"/>
        <w:right w:val="none" w:sz="0" w:space="0" w:color="auto"/>
      </w:divBdr>
    </w:div>
    <w:div w:id="1070427595">
      <w:bodyDiv w:val="1"/>
      <w:marLeft w:val="0"/>
      <w:marRight w:val="0"/>
      <w:marTop w:val="0"/>
      <w:marBottom w:val="0"/>
      <w:divBdr>
        <w:top w:val="none" w:sz="0" w:space="0" w:color="auto"/>
        <w:left w:val="none" w:sz="0" w:space="0" w:color="auto"/>
        <w:bottom w:val="none" w:sz="0" w:space="0" w:color="auto"/>
        <w:right w:val="none" w:sz="0" w:space="0" w:color="auto"/>
      </w:divBdr>
    </w:div>
    <w:div w:id="1074164879">
      <w:bodyDiv w:val="1"/>
      <w:marLeft w:val="0"/>
      <w:marRight w:val="0"/>
      <w:marTop w:val="0"/>
      <w:marBottom w:val="0"/>
      <w:divBdr>
        <w:top w:val="none" w:sz="0" w:space="0" w:color="auto"/>
        <w:left w:val="none" w:sz="0" w:space="0" w:color="auto"/>
        <w:bottom w:val="none" w:sz="0" w:space="0" w:color="auto"/>
        <w:right w:val="none" w:sz="0" w:space="0" w:color="auto"/>
      </w:divBdr>
    </w:div>
    <w:div w:id="1094516890">
      <w:bodyDiv w:val="1"/>
      <w:marLeft w:val="0"/>
      <w:marRight w:val="0"/>
      <w:marTop w:val="0"/>
      <w:marBottom w:val="0"/>
      <w:divBdr>
        <w:top w:val="none" w:sz="0" w:space="0" w:color="auto"/>
        <w:left w:val="none" w:sz="0" w:space="0" w:color="auto"/>
        <w:bottom w:val="none" w:sz="0" w:space="0" w:color="auto"/>
        <w:right w:val="none" w:sz="0" w:space="0" w:color="auto"/>
      </w:divBdr>
    </w:div>
    <w:div w:id="1125849558">
      <w:bodyDiv w:val="1"/>
      <w:marLeft w:val="0"/>
      <w:marRight w:val="0"/>
      <w:marTop w:val="0"/>
      <w:marBottom w:val="0"/>
      <w:divBdr>
        <w:top w:val="none" w:sz="0" w:space="0" w:color="auto"/>
        <w:left w:val="none" w:sz="0" w:space="0" w:color="auto"/>
        <w:bottom w:val="none" w:sz="0" w:space="0" w:color="auto"/>
        <w:right w:val="none" w:sz="0" w:space="0" w:color="auto"/>
      </w:divBdr>
    </w:div>
    <w:div w:id="1127548427">
      <w:bodyDiv w:val="1"/>
      <w:marLeft w:val="0"/>
      <w:marRight w:val="0"/>
      <w:marTop w:val="0"/>
      <w:marBottom w:val="0"/>
      <w:divBdr>
        <w:top w:val="none" w:sz="0" w:space="0" w:color="auto"/>
        <w:left w:val="none" w:sz="0" w:space="0" w:color="auto"/>
        <w:bottom w:val="none" w:sz="0" w:space="0" w:color="auto"/>
        <w:right w:val="none" w:sz="0" w:space="0" w:color="auto"/>
      </w:divBdr>
    </w:div>
    <w:div w:id="1158497683">
      <w:bodyDiv w:val="1"/>
      <w:marLeft w:val="0"/>
      <w:marRight w:val="0"/>
      <w:marTop w:val="0"/>
      <w:marBottom w:val="0"/>
      <w:divBdr>
        <w:top w:val="none" w:sz="0" w:space="0" w:color="auto"/>
        <w:left w:val="none" w:sz="0" w:space="0" w:color="auto"/>
        <w:bottom w:val="none" w:sz="0" w:space="0" w:color="auto"/>
        <w:right w:val="none" w:sz="0" w:space="0" w:color="auto"/>
      </w:divBdr>
    </w:div>
    <w:div w:id="1240559366">
      <w:bodyDiv w:val="1"/>
      <w:marLeft w:val="0"/>
      <w:marRight w:val="0"/>
      <w:marTop w:val="0"/>
      <w:marBottom w:val="0"/>
      <w:divBdr>
        <w:top w:val="none" w:sz="0" w:space="0" w:color="auto"/>
        <w:left w:val="none" w:sz="0" w:space="0" w:color="auto"/>
        <w:bottom w:val="none" w:sz="0" w:space="0" w:color="auto"/>
        <w:right w:val="none" w:sz="0" w:space="0" w:color="auto"/>
      </w:divBdr>
    </w:div>
    <w:div w:id="1262834277">
      <w:bodyDiv w:val="1"/>
      <w:marLeft w:val="0"/>
      <w:marRight w:val="0"/>
      <w:marTop w:val="0"/>
      <w:marBottom w:val="0"/>
      <w:divBdr>
        <w:top w:val="none" w:sz="0" w:space="0" w:color="auto"/>
        <w:left w:val="none" w:sz="0" w:space="0" w:color="auto"/>
        <w:bottom w:val="none" w:sz="0" w:space="0" w:color="auto"/>
        <w:right w:val="none" w:sz="0" w:space="0" w:color="auto"/>
      </w:divBdr>
    </w:div>
    <w:div w:id="1307008059">
      <w:bodyDiv w:val="1"/>
      <w:marLeft w:val="0"/>
      <w:marRight w:val="0"/>
      <w:marTop w:val="0"/>
      <w:marBottom w:val="0"/>
      <w:divBdr>
        <w:top w:val="none" w:sz="0" w:space="0" w:color="auto"/>
        <w:left w:val="none" w:sz="0" w:space="0" w:color="auto"/>
        <w:bottom w:val="none" w:sz="0" w:space="0" w:color="auto"/>
        <w:right w:val="none" w:sz="0" w:space="0" w:color="auto"/>
      </w:divBdr>
    </w:div>
    <w:div w:id="1321033897">
      <w:bodyDiv w:val="1"/>
      <w:marLeft w:val="0"/>
      <w:marRight w:val="0"/>
      <w:marTop w:val="0"/>
      <w:marBottom w:val="0"/>
      <w:divBdr>
        <w:top w:val="none" w:sz="0" w:space="0" w:color="auto"/>
        <w:left w:val="none" w:sz="0" w:space="0" w:color="auto"/>
        <w:bottom w:val="none" w:sz="0" w:space="0" w:color="auto"/>
        <w:right w:val="none" w:sz="0" w:space="0" w:color="auto"/>
      </w:divBdr>
    </w:div>
    <w:div w:id="1322200054">
      <w:bodyDiv w:val="1"/>
      <w:marLeft w:val="0"/>
      <w:marRight w:val="0"/>
      <w:marTop w:val="0"/>
      <w:marBottom w:val="0"/>
      <w:divBdr>
        <w:top w:val="none" w:sz="0" w:space="0" w:color="auto"/>
        <w:left w:val="none" w:sz="0" w:space="0" w:color="auto"/>
        <w:bottom w:val="none" w:sz="0" w:space="0" w:color="auto"/>
        <w:right w:val="none" w:sz="0" w:space="0" w:color="auto"/>
      </w:divBdr>
    </w:div>
    <w:div w:id="1341473581">
      <w:bodyDiv w:val="1"/>
      <w:marLeft w:val="0"/>
      <w:marRight w:val="0"/>
      <w:marTop w:val="0"/>
      <w:marBottom w:val="0"/>
      <w:divBdr>
        <w:top w:val="none" w:sz="0" w:space="0" w:color="auto"/>
        <w:left w:val="none" w:sz="0" w:space="0" w:color="auto"/>
        <w:bottom w:val="none" w:sz="0" w:space="0" w:color="auto"/>
        <w:right w:val="none" w:sz="0" w:space="0" w:color="auto"/>
      </w:divBdr>
    </w:div>
    <w:div w:id="1392969138">
      <w:bodyDiv w:val="1"/>
      <w:marLeft w:val="0"/>
      <w:marRight w:val="0"/>
      <w:marTop w:val="0"/>
      <w:marBottom w:val="0"/>
      <w:divBdr>
        <w:top w:val="none" w:sz="0" w:space="0" w:color="auto"/>
        <w:left w:val="none" w:sz="0" w:space="0" w:color="auto"/>
        <w:bottom w:val="none" w:sz="0" w:space="0" w:color="auto"/>
        <w:right w:val="none" w:sz="0" w:space="0" w:color="auto"/>
      </w:divBdr>
    </w:div>
    <w:div w:id="1441484169">
      <w:bodyDiv w:val="1"/>
      <w:marLeft w:val="0"/>
      <w:marRight w:val="0"/>
      <w:marTop w:val="0"/>
      <w:marBottom w:val="0"/>
      <w:divBdr>
        <w:top w:val="none" w:sz="0" w:space="0" w:color="auto"/>
        <w:left w:val="none" w:sz="0" w:space="0" w:color="auto"/>
        <w:bottom w:val="none" w:sz="0" w:space="0" w:color="auto"/>
        <w:right w:val="none" w:sz="0" w:space="0" w:color="auto"/>
      </w:divBdr>
    </w:div>
    <w:div w:id="1445462782">
      <w:bodyDiv w:val="1"/>
      <w:marLeft w:val="0"/>
      <w:marRight w:val="0"/>
      <w:marTop w:val="0"/>
      <w:marBottom w:val="0"/>
      <w:divBdr>
        <w:top w:val="none" w:sz="0" w:space="0" w:color="auto"/>
        <w:left w:val="none" w:sz="0" w:space="0" w:color="auto"/>
        <w:bottom w:val="none" w:sz="0" w:space="0" w:color="auto"/>
        <w:right w:val="none" w:sz="0" w:space="0" w:color="auto"/>
      </w:divBdr>
    </w:div>
    <w:div w:id="1535773637">
      <w:bodyDiv w:val="1"/>
      <w:marLeft w:val="0"/>
      <w:marRight w:val="0"/>
      <w:marTop w:val="0"/>
      <w:marBottom w:val="0"/>
      <w:divBdr>
        <w:top w:val="none" w:sz="0" w:space="0" w:color="auto"/>
        <w:left w:val="none" w:sz="0" w:space="0" w:color="auto"/>
        <w:bottom w:val="none" w:sz="0" w:space="0" w:color="auto"/>
        <w:right w:val="none" w:sz="0" w:space="0" w:color="auto"/>
      </w:divBdr>
    </w:div>
    <w:div w:id="1540045650">
      <w:bodyDiv w:val="1"/>
      <w:marLeft w:val="0"/>
      <w:marRight w:val="0"/>
      <w:marTop w:val="0"/>
      <w:marBottom w:val="0"/>
      <w:divBdr>
        <w:top w:val="none" w:sz="0" w:space="0" w:color="auto"/>
        <w:left w:val="none" w:sz="0" w:space="0" w:color="auto"/>
        <w:bottom w:val="none" w:sz="0" w:space="0" w:color="auto"/>
        <w:right w:val="none" w:sz="0" w:space="0" w:color="auto"/>
      </w:divBdr>
    </w:div>
    <w:div w:id="1561868572">
      <w:bodyDiv w:val="1"/>
      <w:marLeft w:val="0"/>
      <w:marRight w:val="0"/>
      <w:marTop w:val="0"/>
      <w:marBottom w:val="0"/>
      <w:divBdr>
        <w:top w:val="none" w:sz="0" w:space="0" w:color="auto"/>
        <w:left w:val="none" w:sz="0" w:space="0" w:color="auto"/>
        <w:bottom w:val="none" w:sz="0" w:space="0" w:color="auto"/>
        <w:right w:val="none" w:sz="0" w:space="0" w:color="auto"/>
      </w:divBdr>
    </w:div>
    <w:div w:id="1589389373">
      <w:bodyDiv w:val="1"/>
      <w:marLeft w:val="0"/>
      <w:marRight w:val="0"/>
      <w:marTop w:val="0"/>
      <w:marBottom w:val="0"/>
      <w:divBdr>
        <w:top w:val="none" w:sz="0" w:space="0" w:color="auto"/>
        <w:left w:val="none" w:sz="0" w:space="0" w:color="auto"/>
        <w:bottom w:val="none" w:sz="0" w:space="0" w:color="auto"/>
        <w:right w:val="none" w:sz="0" w:space="0" w:color="auto"/>
      </w:divBdr>
    </w:div>
    <w:div w:id="1626350720">
      <w:bodyDiv w:val="1"/>
      <w:marLeft w:val="0"/>
      <w:marRight w:val="0"/>
      <w:marTop w:val="0"/>
      <w:marBottom w:val="0"/>
      <w:divBdr>
        <w:top w:val="none" w:sz="0" w:space="0" w:color="auto"/>
        <w:left w:val="none" w:sz="0" w:space="0" w:color="auto"/>
        <w:bottom w:val="none" w:sz="0" w:space="0" w:color="auto"/>
        <w:right w:val="none" w:sz="0" w:space="0" w:color="auto"/>
      </w:divBdr>
    </w:div>
    <w:div w:id="1660577943">
      <w:bodyDiv w:val="1"/>
      <w:marLeft w:val="0"/>
      <w:marRight w:val="0"/>
      <w:marTop w:val="0"/>
      <w:marBottom w:val="0"/>
      <w:divBdr>
        <w:top w:val="none" w:sz="0" w:space="0" w:color="auto"/>
        <w:left w:val="none" w:sz="0" w:space="0" w:color="auto"/>
        <w:bottom w:val="none" w:sz="0" w:space="0" w:color="auto"/>
        <w:right w:val="none" w:sz="0" w:space="0" w:color="auto"/>
      </w:divBdr>
    </w:div>
    <w:div w:id="1788964519">
      <w:bodyDiv w:val="1"/>
      <w:marLeft w:val="0"/>
      <w:marRight w:val="0"/>
      <w:marTop w:val="0"/>
      <w:marBottom w:val="0"/>
      <w:divBdr>
        <w:top w:val="none" w:sz="0" w:space="0" w:color="auto"/>
        <w:left w:val="none" w:sz="0" w:space="0" w:color="auto"/>
        <w:bottom w:val="none" w:sz="0" w:space="0" w:color="auto"/>
        <w:right w:val="none" w:sz="0" w:space="0" w:color="auto"/>
      </w:divBdr>
    </w:div>
    <w:div w:id="1792016389">
      <w:bodyDiv w:val="1"/>
      <w:marLeft w:val="0"/>
      <w:marRight w:val="0"/>
      <w:marTop w:val="0"/>
      <w:marBottom w:val="0"/>
      <w:divBdr>
        <w:top w:val="none" w:sz="0" w:space="0" w:color="auto"/>
        <w:left w:val="none" w:sz="0" w:space="0" w:color="auto"/>
        <w:bottom w:val="none" w:sz="0" w:space="0" w:color="auto"/>
        <w:right w:val="none" w:sz="0" w:space="0" w:color="auto"/>
      </w:divBdr>
    </w:div>
    <w:div w:id="1799302074">
      <w:bodyDiv w:val="1"/>
      <w:marLeft w:val="0"/>
      <w:marRight w:val="0"/>
      <w:marTop w:val="0"/>
      <w:marBottom w:val="0"/>
      <w:divBdr>
        <w:top w:val="none" w:sz="0" w:space="0" w:color="auto"/>
        <w:left w:val="none" w:sz="0" w:space="0" w:color="auto"/>
        <w:bottom w:val="none" w:sz="0" w:space="0" w:color="auto"/>
        <w:right w:val="none" w:sz="0" w:space="0" w:color="auto"/>
      </w:divBdr>
    </w:div>
    <w:div w:id="1806775219">
      <w:bodyDiv w:val="1"/>
      <w:marLeft w:val="0"/>
      <w:marRight w:val="0"/>
      <w:marTop w:val="0"/>
      <w:marBottom w:val="0"/>
      <w:divBdr>
        <w:top w:val="none" w:sz="0" w:space="0" w:color="auto"/>
        <w:left w:val="none" w:sz="0" w:space="0" w:color="auto"/>
        <w:bottom w:val="none" w:sz="0" w:space="0" w:color="auto"/>
        <w:right w:val="none" w:sz="0" w:space="0" w:color="auto"/>
      </w:divBdr>
    </w:div>
    <w:div w:id="1837644301">
      <w:bodyDiv w:val="1"/>
      <w:marLeft w:val="0"/>
      <w:marRight w:val="0"/>
      <w:marTop w:val="0"/>
      <w:marBottom w:val="0"/>
      <w:divBdr>
        <w:top w:val="none" w:sz="0" w:space="0" w:color="auto"/>
        <w:left w:val="none" w:sz="0" w:space="0" w:color="auto"/>
        <w:bottom w:val="none" w:sz="0" w:space="0" w:color="auto"/>
        <w:right w:val="none" w:sz="0" w:space="0" w:color="auto"/>
      </w:divBdr>
    </w:div>
    <w:div w:id="1841387039">
      <w:bodyDiv w:val="1"/>
      <w:marLeft w:val="0"/>
      <w:marRight w:val="0"/>
      <w:marTop w:val="0"/>
      <w:marBottom w:val="0"/>
      <w:divBdr>
        <w:top w:val="none" w:sz="0" w:space="0" w:color="auto"/>
        <w:left w:val="none" w:sz="0" w:space="0" w:color="auto"/>
        <w:bottom w:val="none" w:sz="0" w:space="0" w:color="auto"/>
        <w:right w:val="none" w:sz="0" w:space="0" w:color="auto"/>
      </w:divBdr>
    </w:div>
    <w:div w:id="1875539288">
      <w:bodyDiv w:val="1"/>
      <w:marLeft w:val="0"/>
      <w:marRight w:val="0"/>
      <w:marTop w:val="0"/>
      <w:marBottom w:val="0"/>
      <w:divBdr>
        <w:top w:val="none" w:sz="0" w:space="0" w:color="auto"/>
        <w:left w:val="none" w:sz="0" w:space="0" w:color="auto"/>
        <w:bottom w:val="none" w:sz="0" w:space="0" w:color="auto"/>
        <w:right w:val="none" w:sz="0" w:space="0" w:color="auto"/>
      </w:divBdr>
    </w:div>
    <w:div w:id="1875846083">
      <w:bodyDiv w:val="1"/>
      <w:marLeft w:val="0"/>
      <w:marRight w:val="0"/>
      <w:marTop w:val="0"/>
      <w:marBottom w:val="0"/>
      <w:divBdr>
        <w:top w:val="none" w:sz="0" w:space="0" w:color="auto"/>
        <w:left w:val="none" w:sz="0" w:space="0" w:color="auto"/>
        <w:bottom w:val="none" w:sz="0" w:space="0" w:color="auto"/>
        <w:right w:val="none" w:sz="0" w:space="0" w:color="auto"/>
      </w:divBdr>
    </w:div>
    <w:div w:id="1887982073">
      <w:bodyDiv w:val="1"/>
      <w:marLeft w:val="0"/>
      <w:marRight w:val="0"/>
      <w:marTop w:val="0"/>
      <w:marBottom w:val="0"/>
      <w:divBdr>
        <w:top w:val="none" w:sz="0" w:space="0" w:color="auto"/>
        <w:left w:val="none" w:sz="0" w:space="0" w:color="auto"/>
        <w:bottom w:val="none" w:sz="0" w:space="0" w:color="auto"/>
        <w:right w:val="none" w:sz="0" w:space="0" w:color="auto"/>
      </w:divBdr>
    </w:div>
    <w:div w:id="1902668470">
      <w:bodyDiv w:val="1"/>
      <w:marLeft w:val="0"/>
      <w:marRight w:val="0"/>
      <w:marTop w:val="0"/>
      <w:marBottom w:val="0"/>
      <w:divBdr>
        <w:top w:val="none" w:sz="0" w:space="0" w:color="auto"/>
        <w:left w:val="none" w:sz="0" w:space="0" w:color="auto"/>
        <w:bottom w:val="none" w:sz="0" w:space="0" w:color="auto"/>
        <w:right w:val="none" w:sz="0" w:space="0" w:color="auto"/>
      </w:divBdr>
    </w:div>
    <w:div w:id="1928735340">
      <w:bodyDiv w:val="1"/>
      <w:marLeft w:val="0"/>
      <w:marRight w:val="0"/>
      <w:marTop w:val="0"/>
      <w:marBottom w:val="0"/>
      <w:divBdr>
        <w:top w:val="none" w:sz="0" w:space="0" w:color="auto"/>
        <w:left w:val="none" w:sz="0" w:space="0" w:color="auto"/>
        <w:bottom w:val="none" w:sz="0" w:space="0" w:color="auto"/>
        <w:right w:val="none" w:sz="0" w:space="0" w:color="auto"/>
      </w:divBdr>
    </w:div>
    <w:div w:id="1930919082">
      <w:bodyDiv w:val="1"/>
      <w:marLeft w:val="0"/>
      <w:marRight w:val="0"/>
      <w:marTop w:val="0"/>
      <w:marBottom w:val="0"/>
      <w:divBdr>
        <w:top w:val="none" w:sz="0" w:space="0" w:color="auto"/>
        <w:left w:val="none" w:sz="0" w:space="0" w:color="auto"/>
        <w:bottom w:val="none" w:sz="0" w:space="0" w:color="auto"/>
        <w:right w:val="none" w:sz="0" w:space="0" w:color="auto"/>
      </w:divBdr>
    </w:div>
    <w:div w:id="1935212660">
      <w:bodyDiv w:val="1"/>
      <w:marLeft w:val="0"/>
      <w:marRight w:val="0"/>
      <w:marTop w:val="0"/>
      <w:marBottom w:val="0"/>
      <w:divBdr>
        <w:top w:val="none" w:sz="0" w:space="0" w:color="auto"/>
        <w:left w:val="none" w:sz="0" w:space="0" w:color="auto"/>
        <w:bottom w:val="none" w:sz="0" w:space="0" w:color="auto"/>
        <w:right w:val="none" w:sz="0" w:space="0" w:color="auto"/>
      </w:divBdr>
    </w:div>
    <w:div w:id="1941139078">
      <w:bodyDiv w:val="1"/>
      <w:marLeft w:val="0"/>
      <w:marRight w:val="0"/>
      <w:marTop w:val="0"/>
      <w:marBottom w:val="0"/>
      <w:divBdr>
        <w:top w:val="none" w:sz="0" w:space="0" w:color="auto"/>
        <w:left w:val="none" w:sz="0" w:space="0" w:color="auto"/>
        <w:bottom w:val="none" w:sz="0" w:space="0" w:color="auto"/>
        <w:right w:val="none" w:sz="0" w:space="0" w:color="auto"/>
      </w:divBdr>
    </w:div>
    <w:div w:id="1956867688">
      <w:bodyDiv w:val="1"/>
      <w:marLeft w:val="0"/>
      <w:marRight w:val="0"/>
      <w:marTop w:val="0"/>
      <w:marBottom w:val="0"/>
      <w:divBdr>
        <w:top w:val="none" w:sz="0" w:space="0" w:color="auto"/>
        <w:left w:val="none" w:sz="0" w:space="0" w:color="auto"/>
        <w:bottom w:val="none" w:sz="0" w:space="0" w:color="auto"/>
        <w:right w:val="none" w:sz="0" w:space="0" w:color="auto"/>
      </w:divBdr>
    </w:div>
    <w:div w:id="2044211787">
      <w:bodyDiv w:val="1"/>
      <w:marLeft w:val="0"/>
      <w:marRight w:val="0"/>
      <w:marTop w:val="0"/>
      <w:marBottom w:val="0"/>
      <w:divBdr>
        <w:top w:val="none" w:sz="0" w:space="0" w:color="auto"/>
        <w:left w:val="none" w:sz="0" w:space="0" w:color="auto"/>
        <w:bottom w:val="none" w:sz="0" w:space="0" w:color="auto"/>
        <w:right w:val="none" w:sz="0" w:space="0" w:color="auto"/>
      </w:divBdr>
    </w:div>
    <w:div w:id="2048337799">
      <w:bodyDiv w:val="1"/>
      <w:marLeft w:val="0"/>
      <w:marRight w:val="0"/>
      <w:marTop w:val="0"/>
      <w:marBottom w:val="0"/>
      <w:divBdr>
        <w:top w:val="none" w:sz="0" w:space="0" w:color="auto"/>
        <w:left w:val="none" w:sz="0" w:space="0" w:color="auto"/>
        <w:bottom w:val="none" w:sz="0" w:space="0" w:color="auto"/>
        <w:right w:val="none" w:sz="0" w:space="0" w:color="auto"/>
      </w:divBdr>
    </w:div>
    <w:div w:id="2049714934">
      <w:bodyDiv w:val="1"/>
      <w:marLeft w:val="0"/>
      <w:marRight w:val="0"/>
      <w:marTop w:val="0"/>
      <w:marBottom w:val="0"/>
      <w:divBdr>
        <w:top w:val="none" w:sz="0" w:space="0" w:color="auto"/>
        <w:left w:val="none" w:sz="0" w:space="0" w:color="auto"/>
        <w:bottom w:val="none" w:sz="0" w:space="0" w:color="auto"/>
        <w:right w:val="none" w:sz="0" w:space="0" w:color="auto"/>
      </w:divBdr>
    </w:div>
    <w:div w:id="2056391578">
      <w:bodyDiv w:val="1"/>
      <w:marLeft w:val="0"/>
      <w:marRight w:val="0"/>
      <w:marTop w:val="0"/>
      <w:marBottom w:val="0"/>
      <w:divBdr>
        <w:top w:val="none" w:sz="0" w:space="0" w:color="auto"/>
        <w:left w:val="none" w:sz="0" w:space="0" w:color="auto"/>
        <w:bottom w:val="none" w:sz="0" w:space="0" w:color="auto"/>
        <w:right w:val="none" w:sz="0" w:space="0" w:color="auto"/>
      </w:divBdr>
    </w:div>
    <w:div w:id="2058505456">
      <w:bodyDiv w:val="1"/>
      <w:marLeft w:val="0"/>
      <w:marRight w:val="0"/>
      <w:marTop w:val="0"/>
      <w:marBottom w:val="0"/>
      <w:divBdr>
        <w:top w:val="none" w:sz="0" w:space="0" w:color="auto"/>
        <w:left w:val="none" w:sz="0" w:space="0" w:color="auto"/>
        <w:bottom w:val="none" w:sz="0" w:space="0" w:color="auto"/>
        <w:right w:val="none" w:sz="0" w:space="0" w:color="auto"/>
      </w:divBdr>
    </w:div>
    <w:div w:id="2062367090">
      <w:bodyDiv w:val="1"/>
      <w:marLeft w:val="0"/>
      <w:marRight w:val="0"/>
      <w:marTop w:val="0"/>
      <w:marBottom w:val="0"/>
      <w:divBdr>
        <w:top w:val="none" w:sz="0" w:space="0" w:color="auto"/>
        <w:left w:val="none" w:sz="0" w:space="0" w:color="auto"/>
        <w:bottom w:val="none" w:sz="0" w:space="0" w:color="auto"/>
        <w:right w:val="none" w:sz="0" w:space="0" w:color="auto"/>
      </w:divBdr>
    </w:div>
    <w:div w:id="2082211085">
      <w:bodyDiv w:val="1"/>
      <w:marLeft w:val="0"/>
      <w:marRight w:val="0"/>
      <w:marTop w:val="0"/>
      <w:marBottom w:val="0"/>
      <w:divBdr>
        <w:top w:val="none" w:sz="0" w:space="0" w:color="auto"/>
        <w:left w:val="none" w:sz="0" w:space="0" w:color="auto"/>
        <w:bottom w:val="none" w:sz="0" w:space="0" w:color="auto"/>
        <w:right w:val="none" w:sz="0" w:space="0" w:color="auto"/>
      </w:divBdr>
    </w:div>
    <w:div w:id="2085489445">
      <w:bodyDiv w:val="1"/>
      <w:marLeft w:val="0"/>
      <w:marRight w:val="0"/>
      <w:marTop w:val="0"/>
      <w:marBottom w:val="0"/>
      <w:divBdr>
        <w:top w:val="none" w:sz="0" w:space="0" w:color="auto"/>
        <w:left w:val="none" w:sz="0" w:space="0" w:color="auto"/>
        <w:bottom w:val="none" w:sz="0" w:space="0" w:color="auto"/>
        <w:right w:val="none" w:sz="0" w:space="0" w:color="auto"/>
      </w:divBdr>
    </w:div>
    <w:div w:id="2123063124">
      <w:bodyDiv w:val="1"/>
      <w:marLeft w:val="0"/>
      <w:marRight w:val="0"/>
      <w:marTop w:val="0"/>
      <w:marBottom w:val="0"/>
      <w:divBdr>
        <w:top w:val="none" w:sz="0" w:space="0" w:color="auto"/>
        <w:left w:val="none" w:sz="0" w:space="0" w:color="auto"/>
        <w:bottom w:val="none" w:sz="0" w:space="0" w:color="auto"/>
        <w:right w:val="none" w:sz="0" w:space="0" w:color="auto"/>
      </w:divBdr>
    </w:div>
    <w:div w:id="212692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389BE-FBDD-4D56-B8C8-D6407A61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3780</Words>
  <Characters>21549</Characters>
  <Application>Microsoft Office Word</Application>
  <DocSecurity>0</DocSecurity>
  <Lines>179</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25279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cojocaru</dc:creator>
  <cp:keywords/>
  <dc:description/>
  <cp:lastModifiedBy>E.S</cp:lastModifiedBy>
  <cp:revision>4</cp:revision>
  <cp:lastPrinted>2024-08-16T10:11:00Z</cp:lastPrinted>
  <dcterms:created xsi:type="dcterms:W3CDTF">2024-09-24T15:29:00Z</dcterms:created>
  <dcterms:modified xsi:type="dcterms:W3CDTF">2024-09-25T05:11:00Z</dcterms:modified>
</cp:coreProperties>
</file>